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2B5FDB" w:rsidP="002B5FDB">
            <w:pPr>
              <w:rPr>
                <w:b/>
              </w:rPr>
            </w:pPr>
            <w:r>
              <w:rPr>
                <w:rStyle w:val="Firstpagetablebold"/>
              </w:rPr>
              <w:t>15 September 2016</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2B5FDB" w:rsidP="004A6D2F">
            <w:pPr>
              <w:rPr>
                <w:rStyle w:val="Firstpagetablebold"/>
              </w:rPr>
            </w:pPr>
            <w:r>
              <w:rPr>
                <w:rStyle w:val="Firstpagetablebold"/>
              </w:rPr>
              <w:t>Head of Housing and Property</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2B5FDB" w:rsidP="004A6D2F">
            <w:pPr>
              <w:rPr>
                <w:rStyle w:val="Firstpagetablebold"/>
              </w:rPr>
            </w:pPr>
            <w:r>
              <w:rPr>
                <w:rStyle w:val="Firstpagetablebold"/>
              </w:rPr>
              <w:t xml:space="preserve">Pooled </w:t>
            </w:r>
            <w:r w:rsidR="0028344A">
              <w:rPr>
                <w:rStyle w:val="Firstpagetablebold"/>
              </w:rPr>
              <w:t>B</w:t>
            </w:r>
            <w:r>
              <w:rPr>
                <w:rStyle w:val="Firstpagetablebold"/>
              </w:rPr>
              <w:t xml:space="preserve">udget </w:t>
            </w:r>
            <w:r w:rsidR="0028344A">
              <w:rPr>
                <w:rStyle w:val="Firstpagetablebold"/>
              </w:rPr>
              <w:t>A</w:t>
            </w:r>
            <w:r>
              <w:rPr>
                <w:rStyle w:val="Firstpagetablebold"/>
              </w:rPr>
              <w:t xml:space="preserve">rrangements for </w:t>
            </w:r>
            <w:r w:rsidR="0028344A">
              <w:rPr>
                <w:rStyle w:val="Firstpagetablebold"/>
              </w:rPr>
              <w:t>the C</w:t>
            </w:r>
            <w:r>
              <w:rPr>
                <w:rStyle w:val="Firstpagetablebold"/>
              </w:rPr>
              <w:t xml:space="preserve">ommissioning of </w:t>
            </w:r>
            <w:r w:rsidR="0028344A">
              <w:rPr>
                <w:rStyle w:val="Firstpagetablebold"/>
              </w:rPr>
              <w:t>A</w:t>
            </w:r>
            <w:r>
              <w:rPr>
                <w:rStyle w:val="Firstpagetablebold"/>
              </w:rPr>
              <w:t xml:space="preserve">dult </w:t>
            </w:r>
            <w:r w:rsidR="0028344A">
              <w:rPr>
                <w:rStyle w:val="Firstpagetablebold"/>
              </w:rPr>
              <w:t>H</w:t>
            </w:r>
            <w:r>
              <w:rPr>
                <w:rStyle w:val="Firstpagetablebold"/>
              </w:rPr>
              <w:t xml:space="preserve">omeless </w:t>
            </w:r>
            <w:r w:rsidR="0028344A">
              <w:rPr>
                <w:rStyle w:val="Firstpagetablebold"/>
              </w:rPr>
              <w:t>S</w:t>
            </w:r>
            <w:r>
              <w:rPr>
                <w:rStyle w:val="Firstpagetablebold"/>
              </w:rPr>
              <w:t xml:space="preserve">upported </w:t>
            </w:r>
            <w:r w:rsidR="0028344A">
              <w:rPr>
                <w:rStyle w:val="Firstpagetablebold"/>
              </w:rPr>
              <w:t>A</w:t>
            </w:r>
            <w:r>
              <w:rPr>
                <w:rStyle w:val="Firstpagetablebold"/>
              </w:rPr>
              <w:t>ccommodation</w:t>
            </w:r>
            <w:r w:rsidR="006B2185">
              <w:rPr>
                <w:rStyle w:val="Firstpagetablebold"/>
              </w:rPr>
              <w:t xml:space="preserve"> in Oxfordshire</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2B5FDB" w:rsidP="002B5FDB">
            <w:r>
              <w:t xml:space="preserve">To seek agreement to enter into pooled budget arrangements with Oxfordshire County Council, Oxfordshire Clinical Commissioning Group and </w:t>
            </w:r>
            <w:r w:rsidR="00421D74">
              <w:t xml:space="preserve">Oxfordshire </w:t>
            </w:r>
            <w:r>
              <w:t>District Council</w:t>
            </w:r>
            <w:r w:rsidR="00421D74">
              <w:t>s</w:t>
            </w:r>
            <w:r>
              <w:t>; To agree Oxford City Council</w:t>
            </w:r>
            <w:r w:rsidR="006B2185">
              <w:t>’s initial 3 year</w:t>
            </w:r>
            <w:r>
              <w:t xml:space="preserve"> contribution to the pooled budget</w:t>
            </w:r>
            <w:r w:rsidR="006B2185">
              <w:t xml:space="preserve"> from existing base budget provision</w:t>
            </w:r>
            <w:r>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2B5FDB">
            <w:r w:rsidRPr="001356F1">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D45C34">
            <w:r w:rsidRPr="001356F1">
              <w:t>C</w:t>
            </w:r>
            <w:r w:rsidR="00D45C34">
              <w:t>llr</w:t>
            </w:r>
            <w:r w:rsidRPr="001356F1">
              <w:t xml:space="preserve"> </w:t>
            </w:r>
            <w:r w:rsidR="002B5FDB">
              <w:t>Mike Rowley</w:t>
            </w:r>
            <w:r w:rsidRPr="001356F1">
              <w:t xml:space="preserve">, </w:t>
            </w:r>
            <w:r w:rsidR="002B5FDB">
              <w:t>Housing</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2B5FDB" w:rsidP="005F7F7E">
            <w:r>
              <w:t>Meeting Housing Needs</w:t>
            </w:r>
            <w:r w:rsidR="0080749A" w:rsidRPr="001356F1">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2B5FDB" w:rsidP="002B5FDB">
            <w:r>
              <w:t>Homelessness Strategy</w:t>
            </w:r>
          </w:p>
        </w:tc>
      </w:tr>
      <w:tr w:rsidR="005F7F7E" w:rsidRPr="00975B07" w:rsidTr="00A46E98">
        <w:trPr>
          <w:trHeight w:val="413"/>
        </w:trPr>
        <w:tc>
          <w:tcPr>
            <w:tcW w:w="8845" w:type="dxa"/>
            <w:gridSpan w:val="3"/>
            <w:tcBorders>
              <w:bottom w:val="single" w:sz="8" w:space="0" w:color="000000"/>
            </w:tcBorders>
          </w:tcPr>
          <w:p w:rsidR="005F7F7E" w:rsidRPr="00975B07" w:rsidRDefault="00172669" w:rsidP="004A6D2F">
            <w:r>
              <w:rPr>
                <w:rStyle w:val="Firstpagetablebold"/>
              </w:rPr>
              <w:t>Recommendations</w:t>
            </w:r>
            <w:r w:rsidR="005F7F7E">
              <w:rPr>
                <w:rStyle w:val="Firstpagetablebold"/>
              </w:rPr>
              <w:t>:</w:t>
            </w:r>
            <w:r>
              <w:rPr>
                <w:rStyle w:val="Firstpagetablebold"/>
              </w:rPr>
              <w:t xml:space="preserve"> </w:t>
            </w:r>
            <w:r w:rsidR="005F7F7E" w:rsidRPr="00172669">
              <w:rPr>
                <w:rStyle w:val="Firstpagetablebold"/>
                <w:b w:val="0"/>
              </w:rPr>
              <w:t>That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6B09A8" w:rsidP="0004603F">
            <w:r>
              <w:rPr>
                <w:rStyle w:val="Firstpagetablebold"/>
              </w:rPr>
              <w:t>A</w:t>
            </w:r>
            <w:r w:rsidR="0004603F">
              <w:rPr>
                <w:rStyle w:val="Firstpagetablebold"/>
              </w:rPr>
              <w:t>pprove</w:t>
            </w:r>
            <w:r>
              <w:rPr>
                <w:rStyle w:val="Firstpagetablebold"/>
              </w:rPr>
              <w:t xml:space="preserve"> </w:t>
            </w:r>
            <w:r w:rsidR="006B2185" w:rsidRPr="009755F2">
              <w:rPr>
                <w:rStyle w:val="Firstpagetablebold"/>
                <w:b w:val="0"/>
              </w:rPr>
              <w:t>the</w:t>
            </w:r>
            <w:r w:rsidR="006B2185">
              <w:rPr>
                <w:rStyle w:val="Firstpagetablebold"/>
              </w:rPr>
              <w:t xml:space="preserve"> </w:t>
            </w:r>
            <w:r w:rsidR="00A93251">
              <w:rPr>
                <w:rStyle w:val="Firstpagetablebold"/>
                <w:b w:val="0"/>
              </w:rPr>
              <w:t xml:space="preserve">commitment by </w:t>
            </w:r>
            <w:r>
              <w:rPr>
                <w:rStyle w:val="Firstpagetablebold"/>
                <w:b w:val="0"/>
              </w:rPr>
              <w:t xml:space="preserve">Oxford City Council to enter into a pooled budget arrangement in order to fund adult homeless supported accommodation in </w:t>
            </w:r>
            <w:r w:rsidR="006B2185">
              <w:rPr>
                <w:rStyle w:val="Firstpagetablebold"/>
                <w:b w:val="0"/>
              </w:rPr>
              <w:t>Oxfordshire</w:t>
            </w:r>
            <w:r>
              <w:rPr>
                <w:rStyle w:val="Firstpagetablebold"/>
                <w:b w:val="0"/>
              </w:rPr>
              <w:t xml:space="preserve">. </w:t>
            </w:r>
          </w:p>
        </w:tc>
      </w:tr>
      <w:tr w:rsidR="0030208D" w:rsidRPr="00975B07" w:rsidTr="00A46E98">
        <w:trPr>
          <w:trHeight w:val="283"/>
        </w:trPr>
        <w:tc>
          <w:tcPr>
            <w:tcW w:w="426" w:type="dxa"/>
            <w:tcBorders>
              <w:top w:val="nil"/>
              <w:left w:val="single" w:sz="8" w:space="0" w:color="000000"/>
              <w:bottom w:val="nil"/>
              <w:right w:val="nil"/>
            </w:tcBorders>
          </w:tcPr>
          <w:p w:rsidR="006B09A8" w:rsidRDefault="00046D2B" w:rsidP="004A6D2F">
            <w:r w:rsidRPr="00975B07">
              <w:t>2.</w:t>
            </w:r>
          </w:p>
          <w:p w:rsidR="006B2185" w:rsidRDefault="006B2185" w:rsidP="006B09A8"/>
          <w:p w:rsidR="006B2185" w:rsidRDefault="006B2185" w:rsidP="006B09A8"/>
          <w:p w:rsidR="006B2185" w:rsidRDefault="006B2185" w:rsidP="006B09A8">
            <w:r>
              <w:t>3.</w:t>
            </w:r>
          </w:p>
          <w:p w:rsidR="003F783D" w:rsidRPr="006B09A8" w:rsidRDefault="006B09A8" w:rsidP="006B09A8">
            <w:r>
              <w:t xml:space="preserve"> </w:t>
            </w:r>
          </w:p>
        </w:tc>
        <w:tc>
          <w:tcPr>
            <w:tcW w:w="8419" w:type="dxa"/>
            <w:gridSpan w:val="2"/>
            <w:tcBorders>
              <w:top w:val="nil"/>
              <w:left w:val="nil"/>
              <w:bottom w:val="nil"/>
              <w:right w:val="single" w:sz="8" w:space="0" w:color="000000"/>
            </w:tcBorders>
            <w:shd w:val="clear" w:color="auto" w:fill="auto"/>
          </w:tcPr>
          <w:p w:rsidR="006B2185" w:rsidRPr="006B2185" w:rsidRDefault="006B09A8" w:rsidP="006B2185">
            <w:pPr>
              <w:rPr>
                <w:rStyle w:val="Firstpagetablebold"/>
                <w:b w:val="0"/>
              </w:rPr>
            </w:pPr>
            <w:r>
              <w:rPr>
                <w:rStyle w:val="Firstpagetablebold"/>
              </w:rPr>
              <w:t>A</w:t>
            </w:r>
            <w:r w:rsidR="0004603F">
              <w:rPr>
                <w:rStyle w:val="Firstpagetablebold"/>
              </w:rPr>
              <w:t>pprove</w:t>
            </w:r>
            <w:r>
              <w:rPr>
                <w:rStyle w:val="Firstpagetablebold"/>
              </w:rPr>
              <w:t xml:space="preserve"> </w:t>
            </w:r>
            <w:r>
              <w:rPr>
                <w:rStyle w:val="Firstpagetablebold"/>
                <w:b w:val="0"/>
              </w:rPr>
              <w:t>Oxford City Council</w:t>
            </w:r>
            <w:r w:rsidR="006B2185">
              <w:rPr>
                <w:rStyle w:val="Firstpagetablebold"/>
                <w:b w:val="0"/>
              </w:rPr>
              <w:t>’s</w:t>
            </w:r>
            <w:r>
              <w:rPr>
                <w:rStyle w:val="Firstpagetablebold"/>
                <w:b w:val="0"/>
              </w:rPr>
              <w:t xml:space="preserve"> </w:t>
            </w:r>
            <w:r w:rsidR="006B2185">
              <w:rPr>
                <w:rStyle w:val="Firstpagetablebold"/>
                <w:b w:val="0"/>
              </w:rPr>
              <w:t xml:space="preserve">annual </w:t>
            </w:r>
            <w:r>
              <w:rPr>
                <w:rStyle w:val="Firstpagetablebold"/>
                <w:b w:val="0"/>
              </w:rPr>
              <w:t xml:space="preserve">contribution </w:t>
            </w:r>
            <w:r w:rsidR="006B2185">
              <w:rPr>
                <w:rStyle w:val="Firstpagetablebold"/>
                <w:b w:val="0"/>
              </w:rPr>
              <w:t xml:space="preserve">of £161,700 </w:t>
            </w:r>
            <w:r>
              <w:rPr>
                <w:rStyle w:val="Firstpagetablebold"/>
                <w:b w:val="0"/>
              </w:rPr>
              <w:t>towards the pooled budget</w:t>
            </w:r>
            <w:r w:rsidR="006B2185">
              <w:rPr>
                <w:rStyle w:val="Firstpagetablebold"/>
                <w:b w:val="0"/>
              </w:rPr>
              <w:t xml:space="preserve"> from Housing and Property’s existing</w:t>
            </w:r>
            <w:r w:rsidR="00DC2692">
              <w:rPr>
                <w:rStyle w:val="Firstpagetablebold"/>
                <w:b w:val="0"/>
              </w:rPr>
              <w:t xml:space="preserve"> Homelessness </w:t>
            </w:r>
            <w:r w:rsidR="006B2185">
              <w:rPr>
                <w:rStyle w:val="Firstpagetablebold"/>
                <w:b w:val="0"/>
              </w:rPr>
              <w:t xml:space="preserve">Prevention funds </w:t>
            </w:r>
            <w:r w:rsidR="00DC2692">
              <w:rPr>
                <w:rStyle w:val="Firstpagetablebold"/>
                <w:b w:val="0"/>
              </w:rPr>
              <w:t>base budget provision</w:t>
            </w:r>
            <w:r w:rsidR="003F783D">
              <w:rPr>
                <w:rStyle w:val="Firstpagetablebold"/>
                <w:b w:val="0"/>
              </w:rPr>
              <w:t xml:space="preserve"> that is included in the current approved</w:t>
            </w:r>
            <w:r w:rsidR="006B2185">
              <w:rPr>
                <w:rStyle w:val="Firstpagetablebold"/>
                <w:b w:val="0"/>
              </w:rPr>
              <w:t xml:space="preserve"> Medium Term Financial Plan</w:t>
            </w:r>
          </w:p>
          <w:p w:rsidR="00130341" w:rsidRPr="001356F1" w:rsidRDefault="006B09A8" w:rsidP="0090557B">
            <w:r>
              <w:rPr>
                <w:rStyle w:val="Firstpagetablebold"/>
              </w:rPr>
              <w:t>Delegate</w:t>
            </w:r>
            <w:r>
              <w:rPr>
                <w:rStyle w:val="Firstpagetablebold"/>
                <w:b w:val="0"/>
              </w:rPr>
              <w:t xml:space="preserve"> to the Head of Housing and Property Services, in consultation with the </w:t>
            </w:r>
            <w:r w:rsidR="0090557B">
              <w:rPr>
                <w:rStyle w:val="Firstpagetablebold"/>
                <w:b w:val="0"/>
              </w:rPr>
              <w:t>Board member</w:t>
            </w:r>
            <w:bookmarkStart w:id="0" w:name="_GoBack"/>
            <w:bookmarkEnd w:id="0"/>
            <w:r>
              <w:rPr>
                <w:rStyle w:val="Firstpagetablebold"/>
                <w:b w:val="0"/>
              </w:rPr>
              <w:t xml:space="preserve"> for Housing, the discretion to increase/reduce the Council’s contribution </w:t>
            </w:r>
            <w:r w:rsidR="00421D74">
              <w:rPr>
                <w:rStyle w:val="Firstpagetablebold"/>
                <w:b w:val="0"/>
              </w:rPr>
              <w:t xml:space="preserve"> in years 4 (2020/21) and 5 (</w:t>
            </w:r>
            <w:r w:rsidR="003F3C0F">
              <w:rPr>
                <w:rStyle w:val="Firstpagetablebold"/>
                <w:b w:val="0"/>
              </w:rPr>
              <w:t>2021</w:t>
            </w:r>
            <w:r w:rsidR="00421D74">
              <w:rPr>
                <w:rStyle w:val="Firstpagetablebold"/>
                <w:b w:val="0"/>
              </w:rPr>
              <w:t>/22)</w:t>
            </w:r>
            <w:r w:rsidR="00903154">
              <w:rPr>
                <w:rStyle w:val="Firstpagetablebold"/>
                <w:b w:val="0"/>
              </w:rPr>
              <w:t xml:space="preserve"> </w:t>
            </w:r>
            <w:r w:rsidR="006B2185">
              <w:rPr>
                <w:rStyle w:val="Firstpagetablebold"/>
                <w:b w:val="0"/>
              </w:rPr>
              <w:t>from within existing approved</w:t>
            </w:r>
            <w:r w:rsidR="00DC2692">
              <w:rPr>
                <w:rStyle w:val="Firstpagetablebold"/>
                <w:b w:val="0"/>
              </w:rPr>
              <w:t xml:space="preserve"> Homelessness </w:t>
            </w:r>
            <w:r w:rsidR="006B2185">
              <w:rPr>
                <w:rStyle w:val="Firstpagetablebold"/>
                <w:b w:val="0"/>
              </w:rPr>
              <w:t xml:space="preserve">Prevention funds </w:t>
            </w:r>
            <w:r w:rsidR="00903154">
              <w:rPr>
                <w:rStyle w:val="Firstpagetablebold"/>
                <w:b w:val="0"/>
              </w:rPr>
              <w:t>budgetary provision</w:t>
            </w:r>
            <w:r w:rsidR="002A1A4C">
              <w:rPr>
                <w:rStyle w:val="Firstpagetablebold"/>
                <w:b w:val="0"/>
              </w:rPr>
              <w:t>, if it is agreed by all parties to extend the current 3 year proposal.</w:t>
            </w:r>
          </w:p>
        </w:tc>
      </w:tr>
      <w:tr w:rsidR="00232F5B" w:rsidRPr="00975B07" w:rsidTr="00A46E98">
        <w:trPr>
          <w:trHeight w:val="283"/>
        </w:trPr>
        <w:tc>
          <w:tcPr>
            <w:tcW w:w="426" w:type="dxa"/>
            <w:tcBorders>
              <w:top w:val="nil"/>
              <w:left w:val="single" w:sz="8" w:space="0" w:color="000000"/>
              <w:bottom w:val="single" w:sz="8" w:space="0" w:color="000000"/>
              <w:right w:val="nil"/>
            </w:tcBorders>
          </w:tcPr>
          <w:p w:rsidR="0030208D" w:rsidRPr="00130341" w:rsidRDefault="004E554C" w:rsidP="004A6D2F">
            <w:pPr>
              <w:rPr>
                <w:b/>
              </w:rPr>
            </w:pPr>
            <w:r>
              <w:t>4</w:t>
            </w:r>
            <w:r w:rsidR="00130341">
              <w:t xml:space="preserve">. </w:t>
            </w:r>
          </w:p>
        </w:tc>
        <w:tc>
          <w:tcPr>
            <w:tcW w:w="8419" w:type="dxa"/>
            <w:gridSpan w:val="2"/>
            <w:tcBorders>
              <w:top w:val="nil"/>
              <w:left w:val="nil"/>
              <w:bottom w:val="single" w:sz="8" w:space="0" w:color="000000"/>
              <w:right w:val="single" w:sz="8" w:space="0" w:color="000000"/>
            </w:tcBorders>
            <w:shd w:val="clear" w:color="auto" w:fill="auto"/>
          </w:tcPr>
          <w:p w:rsidR="0030208D" w:rsidRPr="0088206E" w:rsidRDefault="0088206E" w:rsidP="0088206E">
            <w:r>
              <w:rPr>
                <w:b/>
              </w:rPr>
              <w:t xml:space="preserve">Delegate </w:t>
            </w:r>
            <w:r w:rsidRPr="0004603F">
              <w:rPr>
                <w:b/>
              </w:rPr>
              <w:t>authority</w:t>
            </w:r>
            <w:r>
              <w:t xml:space="preserve"> to the Executive Director of </w:t>
            </w:r>
            <w:r w:rsidR="003F3C0F">
              <w:t>R</w:t>
            </w:r>
            <w:r>
              <w:t>egenerati</w:t>
            </w:r>
            <w:r w:rsidR="00AE78A2">
              <w:t>on and Housing to enter into a Governance A</w:t>
            </w:r>
            <w:r>
              <w:t>greement for the pooled budget before April 2017</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lastRenderedPageBreak/>
              <w:t>Appendices</w:t>
            </w:r>
          </w:p>
        </w:tc>
      </w:tr>
      <w:tr w:rsidR="006B09A8" w:rsidRPr="00975B07" w:rsidTr="0088206E">
        <w:trPr>
          <w:trHeight w:val="424"/>
        </w:trPr>
        <w:tc>
          <w:tcPr>
            <w:tcW w:w="2438" w:type="dxa"/>
            <w:tcBorders>
              <w:top w:val="nil"/>
              <w:left w:val="single" w:sz="8" w:space="0" w:color="000000"/>
              <w:bottom w:val="single" w:sz="8" w:space="0" w:color="000000"/>
              <w:right w:val="nil"/>
            </w:tcBorders>
            <w:shd w:val="clear" w:color="auto" w:fill="auto"/>
          </w:tcPr>
          <w:p w:rsidR="006B09A8" w:rsidRPr="00975B07" w:rsidRDefault="006B09A8" w:rsidP="0088206E">
            <w:r w:rsidRPr="00975B07">
              <w:t xml:space="preserve">Appendix </w:t>
            </w:r>
            <w:r w:rsidR="0088206E">
              <w:t>1</w:t>
            </w:r>
          </w:p>
        </w:tc>
        <w:tc>
          <w:tcPr>
            <w:tcW w:w="6406" w:type="dxa"/>
            <w:tcBorders>
              <w:top w:val="nil"/>
              <w:left w:val="nil"/>
              <w:bottom w:val="single" w:sz="8" w:space="0" w:color="000000"/>
              <w:right w:val="single" w:sz="8" w:space="0" w:color="000000"/>
            </w:tcBorders>
          </w:tcPr>
          <w:p w:rsidR="006B09A8" w:rsidRPr="001356F1" w:rsidRDefault="006B09A8" w:rsidP="004A6D2F">
            <w:r>
              <w:t>Risk Register</w:t>
            </w:r>
          </w:p>
        </w:tc>
      </w:tr>
    </w:tbl>
    <w:p w:rsidR="0088206E" w:rsidRDefault="0088206E" w:rsidP="004A6D2F">
      <w:pPr>
        <w:pStyle w:val="Heading1"/>
      </w:pPr>
    </w:p>
    <w:p w:rsidR="0040736F" w:rsidRPr="001356F1" w:rsidRDefault="00F66DCA" w:rsidP="004A6D2F">
      <w:pPr>
        <w:pStyle w:val="Heading1"/>
      </w:pPr>
      <w:r w:rsidRPr="001356F1">
        <w:t>Introduction and b</w:t>
      </w:r>
      <w:r w:rsidR="00151888" w:rsidRPr="001356F1">
        <w:t>ackground</w:t>
      </w:r>
      <w:r w:rsidR="00404032" w:rsidRPr="001356F1">
        <w:t xml:space="preserve"> </w:t>
      </w:r>
    </w:p>
    <w:p w:rsidR="00E87F7A" w:rsidRDefault="00AE646F" w:rsidP="005570B5">
      <w:pPr>
        <w:pStyle w:val="ListParagraph"/>
      </w:pPr>
      <w:r>
        <w:t>In February 2015, Oxfordshire County Council Cabinet agreed a 100% cut to the current Housing Related Supp</w:t>
      </w:r>
      <w:r w:rsidR="00CB5775">
        <w:t>ort of £1.5million</w:t>
      </w:r>
      <w:r w:rsidR="00B64BFB">
        <w:t xml:space="preserve">. </w:t>
      </w:r>
      <w:r w:rsidR="003F783D">
        <w:t xml:space="preserve">The </w:t>
      </w:r>
      <w:r w:rsidR="00B64BFB">
        <w:t>C</w:t>
      </w:r>
      <w:r w:rsidR="00CB5775">
        <w:t xml:space="preserve">ounty Council Cabinet </w:t>
      </w:r>
      <w:r>
        <w:t xml:space="preserve">agreed the cut would be implemented </w:t>
      </w:r>
      <w:r w:rsidR="00903154">
        <w:t xml:space="preserve">and phased </w:t>
      </w:r>
      <w:r w:rsidR="00CB5775">
        <w:t xml:space="preserve">over a three year period, </w:t>
      </w:r>
      <w:r w:rsidR="0003683F">
        <w:t>starting on 1</w:t>
      </w:r>
      <w:r w:rsidR="00172669">
        <w:rPr>
          <w:vertAlign w:val="superscript"/>
        </w:rPr>
        <w:t xml:space="preserve"> </w:t>
      </w:r>
      <w:r w:rsidR="0003683F">
        <w:t xml:space="preserve">April 2017, </w:t>
      </w:r>
      <w:r w:rsidR="00CB5775">
        <w:t xml:space="preserve">with no funds available in the final year, </w:t>
      </w:r>
      <w:r w:rsidR="005B7F05">
        <w:t>2019-20.</w:t>
      </w:r>
    </w:p>
    <w:p w:rsidR="00343E3E" w:rsidRDefault="005B7F05" w:rsidP="005570B5">
      <w:pPr>
        <w:pStyle w:val="ListParagraph"/>
      </w:pPr>
      <w:r>
        <w:t xml:space="preserve">Housing Related Support </w:t>
      </w:r>
      <w:r w:rsidR="00903154">
        <w:t xml:space="preserve">directly </w:t>
      </w:r>
      <w:r>
        <w:t>funds</w:t>
      </w:r>
      <w:r w:rsidR="00CB5775">
        <w:t xml:space="preserve"> all </w:t>
      </w:r>
      <w:r w:rsidR="003F783D">
        <w:t xml:space="preserve">current </w:t>
      </w:r>
      <w:r>
        <w:t xml:space="preserve">supported accommodation for single homeless people across the County, including </w:t>
      </w:r>
      <w:r w:rsidR="00CB5775">
        <w:t xml:space="preserve">the two homeless hostels located in the </w:t>
      </w:r>
      <w:r w:rsidR="003F783D">
        <w:t>C</w:t>
      </w:r>
      <w:r w:rsidR="00CB5775">
        <w:t>ity</w:t>
      </w:r>
      <w:r w:rsidR="00343E3E">
        <w:t xml:space="preserve"> – O’Hanlon House and Simon House</w:t>
      </w:r>
      <w:r w:rsidR="00CB5775">
        <w:t>.</w:t>
      </w:r>
    </w:p>
    <w:p w:rsidR="005B7F05" w:rsidRDefault="005B7F05" w:rsidP="005570B5">
      <w:pPr>
        <w:pStyle w:val="ListParagraph"/>
      </w:pPr>
      <w:r>
        <w:t>The majority of</w:t>
      </w:r>
      <w:r w:rsidR="00343E3E">
        <w:t xml:space="preserve"> </w:t>
      </w:r>
      <w:r>
        <w:t xml:space="preserve">accommodation </w:t>
      </w:r>
      <w:r w:rsidR="00343E3E">
        <w:t xml:space="preserve">units are </w:t>
      </w:r>
      <w:r>
        <w:t xml:space="preserve">based in the </w:t>
      </w:r>
      <w:r w:rsidR="003F783D">
        <w:t>C</w:t>
      </w:r>
      <w:r>
        <w:t>ity (</w:t>
      </w:r>
      <w:r w:rsidR="00A92729">
        <w:t>252</w:t>
      </w:r>
      <w:r>
        <w:t xml:space="preserve"> units out of 285)</w:t>
      </w:r>
      <w:r w:rsidR="003D56B1">
        <w:t>, with 13 units in Cherwell, 1</w:t>
      </w:r>
      <w:r w:rsidR="009002A5">
        <w:t>4</w:t>
      </w:r>
      <w:r w:rsidR="003D56B1">
        <w:t xml:space="preserve"> in South Oxfordshire District Council and 6 in West Oxfordshire District Council. </w:t>
      </w:r>
    </w:p>
    <w:p w:rsidR="005B7F05" w:rsidRDefault="009002A5" w:rsidP="005570B5">
      <w:pPr>
        <w:pStyle w:val="ListParagraph"/>
      </w:pPr>
      <w:r>
        <w:t>Housing Related Support funding c</w:t>
      </w:r>
      <w:r w:rsidR="005B7F05">
        <w:t xml:space="preserve">uts will have </w:t>
      </w:r>
      <w:r w:rsidR="003F783D">
        <w:t xml:space="preserve">a </w:t>
      </w:r>
      <w:r w:rsidR="005B7F05">
        <w:t xml:space="preserve">significant impact on </w:t>
      </w:r>
      <w:r w:rsidR="00762680">
        <w:t xml:space="preserve">the </w:t>
      </w:r>
      <w:r w:rsidR="005B7F05">
        <w:t>accommodation available for single homeless people across the County</w:t>
      </w:r>
      <w:r w:rsidR="003D56B1">
        <w:t xml:space="preserve"> and all </w:t>
      </w:r>
      <w:r w:rsidR="00903154">
        <w:t xml:space="preserve">associated </w:t>
      </w:r>
      <w:r w:rsidR="003D56B1">
        <w:t>stakeholders – Districts and City, County Council and the Oxfordshire Clinical Commissioning Group – are dedicated to work</w:t>
      </w:r>
      <w:r w:rsidR="003F783D">
        <w:t>ing</w:t>
      </w:r>
      <w:r w:rsidR="003D56B1">
        <w:t xml:space="preserve"> in partnership to ensure that some provision can continue w</w:t>
      </w:r>
      <w:r>
        <w:t xml:space="preserve">hen </w:t>
      </w:r>
      <w:r w:rsidR="00BC0D79">
        <w:t xml:space="preserve">the </w:t>
      </w:r>
      <w:r>
        <w:t>County</w:t>
      </w:r>
      <w:r w:rsidR="00BC0D79">
        <w:t>’s</w:t>
      </w:r>
      <w:r>
        <w:t xml:space="preserve"> cuts are implemented</w:t>
      </w:r>
      <w:r w:rsidR="003D56B1">
        <w:t>.</w:t>
      </w:r>
    </w:p>
    <w:p w:rsidR="003D56B1" w:rsidRDefault="005034E6" w:rsidP="005570B5">
      <w:pPr>
        <w:pStyle w:val="ListParagraph"/>
      </w:pPr>
      <w:r>
        <w:t xml:space="preserve">Oxfordshire Clinical Commissioning Group has historically contributed funds towards O’Hanlon House and </w:t>
      </w:r>
      <w:r w:rsidR="009002A5">
        <w:t>is</w:t>
      </w:r>
      <w:r>
        <w:t xml:space="preserve"> part of new arrangements in order to improve health outcomes</w:t>
      </w:r>
      <w:r w:rsidR="009002A5">
        <w:t xml:space="preserve"> for homeless people</w:t>
      </w:r>
      <w:r>
        <w:t xml:space="preserve">, particularly for people with complex needs. </w:t>
      </w:r>
    </w:p>
    <w:p w:rsidR="006C0B04" w:rsidRDefault="00EC6C0C" w:rsidP="005570B5">
      <w:pPr>
        <w:pStyle w:val="ListParagraph"/>
      </w:pPr>
      <w:r>
        <w:t>A</w:t>
      </w:r>
      <w:r w:rsidR="006C0B04">
        <w:t>ware of the threat Oxfordshire County Council’s cut</w:t>
      </w:r>
      <w:r w:rsidR="00C17B7D">
        <w:t>s</w:t>
      </w:r>
      <w:r w:rsidR="006C0B04">
        <w:t xml:space="preserve"> pose to provision for single homeless people, Oxford City Council, through the Oxfordshire Health Improvement Board, </w:t>
      </w:r>
      <w:r w:rsidR="00C17B7D">
        <w:t>took the opportunity and initiative to propose</w:t>
      </w:r>
      <w:r w:rsidR="006C0B04">
        <w:t xml:space="preserve"> a joint, pooled arrangement with relevant partners in order to mitigate the impact of the cuts, although the cuts will still have severe effects. </w:t>
      </w:r>
    </w:p>
    <w:p w:rsidR="00B64BFB" w:rsidRDefault="00EC6C0C" w:rsidP="005570B5">
      <w:pPr>
        <w:pStyle w:val="ListParagraph"/>
      </w:pPr>
      <w:r>
        <w:t xml:space="preserve"> </w:t>
      </w:r>
      <w:r w:rsidR="006C0B04">
        <w:t xml:space="preserve">A </w:t>
      </w:r>
      <w:r>
        <w:t xml:space="preserve">Health Improvement Board (HIB) workshop was established to address </w:t>
      </w:r>
      <w:r w:rsidR="005B7F05">
        <w:t xml:space="preserve">the implications of the funding cuts. </w:t>
      </w:r>
      <w:r w:rsidR="00B64BFB">
        <w:t>Oxford City Council produced a paper to the HIB workshop</w:t>
      </w:r>
      <w:r w:rsidR="005034E6">
        <w:t>,</w:t>
      </w:r>
      <w:r w:rsidR="00B64BFB">
        <w:t xml:space="preserve"> suggesting a level of </w:t>
      </w:r>
      <w:r w:rsidR="005034E6">
        <w:t xml:space="preserve">financial </w:t>
      </w:r>
      <w:r w:rsidR="00B64BFB">
        <w:t xml:space="preserve">contribution from Districts and City to single homeless supported </w:t>
      </w:r>
      <w:r w:rsidR="002F6630">
        <w:t xml:space="preserve">accommodation </w:t>
      </w:r>
      <w:r w:rsidR="00B64BFB">
        <w:t xml:space="preserve">from </w:t>
      </w:r>
      <w:r w:rsidR="00172669">
        <w:t>1</w:t>
      </w:r>
      <w:r w:rsidR="00B64BFB">
        <w:t xml:space="preserve"> April </w:t>
      </w:r>
      <w:r w:rsidR="005034E6">
        <w:t xml:space="preserve">2017. Contributions were calculated based on the level of use of the adult homeless pathway at the time of the paper. </w:t>
      </w:r>
      <w:r w:rsidR="00B64BFB">
        <w:t>The parties agreed in principle to the level of contribution</w:t>
      </w:r>
      <w:r w:rsidR="005034E6">
        <w:t>s</w:t>
      </w:r>
      <w:r w:rsidR="00B64BFB">
        <w:t>.</w:t>
      </w:r>
    </w:p>
    <w:p w:rsidR="005034E6" w:rsidRDefault="005034E6" w:rsidP="005034E6">
      <w:pPr>
        <w:pStyle w:val="ListParagraph"/>
      </w:pPr>
      <w:r>
        <w:t>With a commitment in principle, a financial envelop</w:t>
      </w:r>
      <w:r w:rsidR="00421D74">
        <w:t>e</w:t>
      </w:r>
      <w:r>
        <w:t xml:space="preserve"> had been established and t</w:t>
      </w:r>
      <w:r w:rsidR="005B7F05">
        <w:t xml:space="preserve">he </w:t>
      </w:r>
      <w:r w:rsidR="00B64BFB">
        <w:t>HIB w</w:t>
      </w:r>
      <w:r w:rsidR="005B7F05">
        <w:t>orkshop tasked an officers group</w:t>
      </w:r>
      <w:r w:rsidR="00B64BFB">
        <w:t xml:space="preserve"> to work up options for how the agreed financ</w:t>
      </w:r>
      <w:r w:rsidR="009002A5">
        <w:t>es</w:t>
      </w:r>
      <w:r w:rsidR="00B64BFB">
        <w:t xml:space="preserve"> should be used, as well as to propose governance a</w:t>
      </w:r>
      <w:r w:rsidR="008979B8">
        <w:t>rrangements</w:t>
      </w:r>
      <w:r w:rsidR="00B64BFB">
        <w:t>.</w:t>
      </w:r>
    </w:p>
    <w:p w:rsidR="005B7F05" w:rsidRDefault="00B64BFB" w:rsidP="005034E6">
      <w:pPr>
        <w:pStyle w:val="ListParagraph"/>
      </w:pPr>
      <w:r>
        <w:t xml:space="preserve">Officers from </w:t>
      </w:r>
      <w:r w:rsidR="005B7F05">
        <w:t>Oxfordshire County Council, Oxford City Council, South Oxfordshire District Council, Vale of White Horse District Council, West Oxfordshire District Council, Cherwell District Council and the Oxfordshire Clinical Commissioning Group</w:t>
      </w:r>
      <w:r>
        <w:t xml:space="preserve"> </w:t>
      </w:r>
      <w:r w:rsidR="008979B8">
        <w:t xml:space="preserve">are </w:t>
      </w:r>
      <w:r>
        <w:t>part of the officers group.</w:t>
      </w:r>
    </w:p>
    <w:p w:rsidR="00172669" w:rsidRDefault="00172669" w:rsidP="00172669">
      <w:pPr>
        <w:pStyle w:val="ListParagraph"/>
        <w:numPr>
          <w:ilvl w:val="0"/>
          <w:numId w:val="0"/>
        </w:numPr>
        <w:ind w:left="426"/>
      </w:pPr>
    </w:p>
    <w:p w:rsidR="00323C26" w:rsidRDefault="00323C26" w:rsidP="00172669">
      <w:pPr>
        <w:pStyle w:val="ListParagraph"/>
        <w:numPr>
          <w:ilvl w:val="0"/>
          <w:numId w:val="0"/>
        </w:numPr>
        <w:ind w:left="426"/>
      </w:pPr>
    </w:p>
    <w:p w:rsidR="00633578" w:rsidRPr="001356F1" w:rsidRDefault="008018F2" w:rsidP="00E87F7A">
      <w:pPr>
        <w:pStyle w:val="Heading1"/>
      </w:pPr>
      <w:r>
        <w:lastRenderedPageBreak/>
        <w:t xml:space="preserve">Principles for commissioning of new provision </w:t>
      </w:r>
    </w:p>
    <w:p w:rsidR="00712C9E" w:rsidRDefault="00712C9E" w:rsidP="00712C9E">
      <w:pPr>
        <w:pStyle w:val="ListParagraph"/>
      </w:pPr>
      <w:r>
        <w:t>The officer group developed a preferred option for continuing to deliver accommodation services for single homeless people in the County</w:t>
      </w:r>
      <w:r w:rsidR="005034E6">
        <w:t xml:space="preserve">. The option was developed using the new </w:t>
      </w:r>
      <w:r w:rsidR="00BC0D79">
        <w:t xml:space="preserve">reduced </w:t>
      </w:r>
      <w:r w:rsidR="005034E6">
        <w:t>financial envelope</w:t>
      </w:r>
      <w:r>
        <w:t xml:space="preserve">. The option was endorsed by the </w:t>
      </w:r>
      <w:r w:rsidR="008979B8">
        <w:t xml:space="preserve">Members on the </w:t>
      </w:r>
      <w:r>
        <w:t>HIB workshop on 1 July</w:t>
      </w:r>
      <w:r w:rsidR="00BC0D79">
        <w:t xml:space="preserve"> 2016</w:t>
      </w:r>
      <w:r>
        <w:t>.</w:t>
      </w:r>
    </w:p>
    <w:p w:rsidR="00C17B7D" w:rsidRDefault="00762680" w:rsidP="005570B5">
      <w:pPr>
        <w:pStyle w:val="bParagraphtext"/>
      </w:pPr>
      <w:r>
        <w:t>The k</w:t>
      </w:r>
      <w:r w:rsidR="002F6630">
        <w:t>ey principles for th</w:t>
      </w:r>
      <w:r w:rsidR="005034E6">
        <w:t>is option are:</w:t>
      </w:r>
    </w:p>
    <w:p w:rsidR="002F6630" w:rsidRDefault="002F6630" w:rsidP="002F6630">
      <w:pPr>
        <w:pStyle w:val="bParagraphtext"/>
        <w:numPr>
          <w:ilvl w:val="1"/>
          <w:numId w:val="14"/>
        </w:numPr>
      </w:pPr>
      <w:r>
        <w:t>Parties to enter into a new 3-5 year governance and commissioning arrangement</w:t>
      </w:r>
      <w:r w:rsidR="00ED130A">
        <w:t xml:space="preserve"> with the County Council as the lead body undertaking all contract management and monitoring for, and in communication with, the other partners</w:t>
      </w:r>
    </w:p>
    <w:p w:rsidR="00944019" w:rsidRDefault="00944019" w:rsidP="002F6630">
      <w:pPr>
        <w:pStyle w:val="bParagraphtext"/>
        <w:numPr>
          <w:ilvl w:val="1"/>
          <w:numId w:val="14"/>
        </w:numPr>
      </w:pPr>
      <w:r>
        <w:t xml:space="preserve">Financial contribution </w:t>
      </w:r>
      <w:r w:rsidR="00421D74">
        <w:t xml:space="preserve">for 3 years </w:t>
      </w:r>
      <w:r>
        <w:t>from all parties into a pooled budget to be used to procure services for the purpose of providing accommodation of single homeless people</w:t>
      </w:r>
    </w:p>
    <w:p w:rsidR="002F6630" w:rsidRDefault="002F6630" w:rsidP="002F6630">
      <w:pPr>
        <w:pStyle w:val="bParagraphtext"/>
        <w:numPr>
          <w:ilvl w:val="1"/>
          <w:numId w:val="14"/>
        </w:numPr>
      </w:pPr>
      <w:r>
        <w:t xml:space="preserve">Provision of </w:t>
      </w:r>
      <w:r w:rsidR="00944019">
        <w:t xml:space="preserve">a joint commissioned and joint used </w:t>
      </w:r>
      <w:r>
        <w:t xml:space="preserve">complex needs service </w:t>
      </w:r>
      <w:r w:rsidR="00DC2692">
        <w:t xml:space="preserve">to be </w:t>
      </w:r>
      <w:r>
        <w:t>based in the City</w:t>
      </w:r>
    </w:p>
    <w:p w:rsidR="00A93251" w:rsidRDefault="005034E6" w:rsidP="00944019">
      <w:pPr>
        <w:pStyle w:val="bParagraphtext"/>
        <w:numPr>
          <w:ilvl w:val="1"/>
          <w:numId w:val="14"/>
        </w:numPr>
      </w:pPr>
      <w:r>
        <w:t>L</w:t>
      </w:r>
      <w:r w:rsidR="002F6630">
        <w:t>ocal services</w:t>
      </w:r>
      <w:r w:rsidR="00944019">
        <w:t xml:space="preserve"> for local people in each of the Districts and in the City.</w:t>
      </w:r>
    </w:p>
    <w:p w:rsidR="00C17B7D" w:rsidRDefault="005034E6" w:rsidP="00C17B7D">
      <w:pPr>
        <w:pStyle w:val="bParagraphtext"/>
        <w:numPr>
          <w:ilvl w:val="1"/>
          <w:numId w:val="14"/>
        </w:numPr>
      </w:pPr>
      <w:r>
        <w:t>Substantial transition arrangements during the first year of new arrangements, 2017/18 (year 1).</w:t>
      </w:r>
    </w:p>
    <w:p w:rsidR="00A93251" w:rsidRPr="001356F1" w:rsidRDefault="00A93251" w:rsidP="00A93251">
      <w:pPr>
        <w:pStyle w:val="Heading1"/>
      </w:pPr>
      <w:r>
        <w:t>Pooled budget</w:t>
      </w:r>
    </w:p>
    <w:p w:rsidR="00421D74" w:rsidRDefault="00A92729" w:rsidP="00421D74">
      <w:pPr>
        <w:pStyle w:val="bParagraphtext"/>
      </w:pPr>
      <w:r>
        <w:t>Over the three years</w:t>
      </w:r>
      <w:r w:rsidR="00C00E86">
        <w:t>,</w:t>
      </w:r>
      <w:r>
        <w:t xml:space="preserve"> the pool budget will oversee a total of £2,940,000, contributed by the 7 parties</w:t>
      </w:r>
      <w:r w:rsidR="006A3F11">
        <w:t xml:space="preserve"> (4 District Councils, City Council, County Council and the Clinical Commissioning Group)</w:t>
      </w:r>
      <w:r>
        <w:t>.</w:t>
      </w:r>
      <w:r w:rsidR="00C00E86">
        <w:t xml:space="preserve"> </w:t>
      </w:r>
      <w:r w:rsidR="008979B8">
        <w:t xml:space="preserve">Individual contributions by all parties to be agreed in September 2016. </w:t>
      </w:r>
      <w:r w:rsidR="00D00004">
        <w:t>P</w:t>
      </w:r>
      <w:r w:rsidR="00421D74">
        <w:t>roposed expenditure as follows:</w:t>
      </w:r>
    </w:p>
    <w:p w:rsidR="00D00004" w:rsidRDefault="00D00004" w:rsidP="00D00004">
      <w:pPr>
        <w:pStyle w:val="bParagraphtext"/>
        <w:numPr>
          <w:ilvl w:val="0"/>
          <w:numId w:val="0"/>
        </w:numPr>
        <w:ind w:left="426"/>
      </w:pPr>
    </w:p>
    <w:tbl>
      <w:tblPr>
        <w:tblW w:w="0" w:type="auto"/>
        <w:jc w:val="center"/>
        <w:tblInd w:w="108" w:type="dxa"/>
        <w:tblLayout w:type="fixed"/>
        <w:tblCellMar>
          <w:left w:w="0" w:type="dxa"/>
          <w:right w:w="0" w:type="dxa"/>
        </w:tblCellMar>
        <w:tblLook w:val="04A0" w:firstRow="1" w:lastRow="0" w:firstColumn="1" w:lastColumn="0" w:noHBand="0" w:noVBand="1"/>
      </w:tblPr>
      <w:tblGrid>
        <w:gridCol w:w="2835"/>
        <w:gridCol w:w="1795"/>
        <w:gridCol w:w="1749"/>
        <w:gridCol w:w="1872"/>
      </w:tblGrid>
      <w:tr w:rsidR="00421D74" w:rsidRPr="00172669" w:rsidTr="00172669">
        <w:trPr>
          <w:trHeight w:val="397"/>
          <w:jc w:val="center"/>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21D74" w:rsidRPr="00172669" w:rsidRDefault="00421D74" w:rsidP="00691782">
            <w:pPr>
              <w:spacing w:after="0"/>
              <w:rPr>
                <w:rFonts w:cs="Arial"/>
                <w:b/>
              </w:rPr>
            </w:pPr>
            <w:r w:rsidRPr="00172669">
              <w:rPr>
                <w:rFonts w:cs="Arial"/>
                <w:b/>
              </w:rPr>
              <w:t>Housing Related Support Pool Budget Expenditure</w:t>
            </w:r>
          </w:p>
        </w:tc>
        <w:tc>
          <w:tcPr>
            <w:tcW w:w="17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421D74" w:rsidRPr="00172669" w:rsidRDefault="00DC2692" w:rsidP="00691782">
            <w:pPr>
              <w:spacing w:after="0"/>
              <w:jc w:val="right"/>
              <w:rPr>
                <w:rFonts w:cs="Arial"/>
                <w:b/>
                <w:bCs/>
              </w:rPr>
            </w:pPr>
            <w:r w:rsidRPr="00172669">
              <w:rPr>
                <w:rFonts w:cs="Arial"/>
                <w:b/>
                <w:bCs/>
              </w:rPr>
              <w:t>2017/18</w:t>
            </w:r>
          </w:p>
          <w:p w:rsidR="00421D74" w:rsidRPr="00172669" w:rsidRDefault="00421D74" w:rsidP="00691782">
            <w:pPr>
              <w:spacing w:after="0"/>
              <w:jc w:val="right"/>
              <w:rPr>
                <w:rFonts w:cs="Arial"/>
                <w:b/>
                <w:bCs/>
              </w:rPr>
            </w:pPr>
            <w:r w:rsidRPr="00172669">
              <w:rPr>
                <w:rFonts w:cs="Arial"/>
                <w:b/>
                <w:bCs/>
              </w:rPr>
              <w:t>Year 1</w:t>
            </w:r>
          </w:p>
          <w:p w:rsidR="00421D74" w:rsidRPr="00172669" w:rsidRDefault="00421D74" w:rsidP="00691782">
            <w:pPr>
              <w:spacing w:after="0"/>
              <w:jc w:val="right"/>
              <w:rPr>
                <w:rFonts w:cs="Arial"/>
                <w:bCs/>
              </w:rPr>
            </w:pPr>
          </w:p>
        </w:tc>
        <w:tc>
          <w:tcPr>
            <w:tcW w:w="1749" w:type="dxa"/>
            <w:tcBorders>
              <w:top w:val="single" w:sz="8" w:space="0" w:color="auto"/>
              <w:left w:val="nil"/>
              <w:bottom w:val="single" w:sz="8" w:space="0" w:color="auto"/>
              <w:right w:val="single" w:sz="8" w:space="0" w:color="auto"/>
            </w:tcBorders>
            <w:vAlign w:val="bottom"/>
          </w:tcPr>
          <w:p w:rsidR="00421D74" w:rsidRPr="00172669" w:rsidRDefault="00DC2692" w:rsidP="00691782">
            <w:pPr>
              <w:spacing w:after="0"/>
              <w:jc w:val="right"/>
              <w:rPr>
                <w:rFonts w:cs="Arial"/>
                <w:b/>
                <w:bCs/>
              </w:rPr>
            </w:pPr>
            <w:r w:rsidRPr="00172669">
              <w:rPr>
                <w:rFonts w:cs="Arial"/>
                <w:b/>
                <w:bCs/>
              </w:rPr>
              <w:t>2018/19</w:t>
            </w:r>
          </w:p>
          <w:p w:rsidR="00421D74" w:rsidRPr="00172669" w:rsidRDefault="00421D74" w:rsidP="00691782">
            <w:pPr>
              <w:spacing w:after="0"/>
              <w:jc w:val="right"/>
              <w:rPr>
                <w:rFonts w:cs="Arial"/>
                <w:b/>
                <w:bCs/>
              </w:rPr>
            </w:pPr>
            <w:r w:rsidRPr="00172669">
              <w:rPr>
                <w:rFonts w:cs="Arial"/>
                <w:b/>
                <w:bCs/>
              </w:rPr>
              <w:t>Year 2</w:t>
            </w:r>
          </w:p>
          <w:p w:rsidR="00421D74" w:rsidRPr="00172669" w:rsidRDefault="00421D74" w:rsidP="00691782">
            <w:pPr>
              <w:spacing w:after="0"/>
              <w:jc w:val="right"/>
              <w:rPr>
                <w:rFonts w:cs="Arial"/>
                <w:bCs/>
              </w:rPr>
            </w:pPr>
          </w:p>
        </w:tc>
        <w:tc>
          <w:tcPr>
            <w:tcW w:w="1872" w:type="dxa"/>
            <w:tcBorders>
              <w:top w:val="single" w:sz="8" w:space="0" w:color="auto"/>
              <w:left w:val="nil"/>
              <w:bottom w:val="single" w:sz="8" w:space="0" w:color="auto"/>
              <w:right w:val="single" w:sz="8" w:space="0" w:color="auto"/>
            </w:tcBorders>
            <w:vAlign w:val="bottom"/>
          </w:tcPr>
          <w:p w:rsidR="00421D74" w:rsidRPr="00172669" w:rsidRDefault="00DC2692" w:rsidP="00691782">
            <w:pPr>
              <w:spacing w:after="0"/>
              <w:jc w:val="right"/>
              <w:rPr>
                <w:rFonts w:cs="Arial"/>
                <w:b/>
                <w:bCs/>
              </w:rPr>
            </w:pPr>
            <w:r w:rsidRPr="00172669">
              <w:rPr>
                <w:rFonts w:cs="Arial"/>
                <w:b/>
                <w:bCs/>
              </w:rPr>
              <w:t>2019/20</w:t>
            </w:r>
          </w:p>
          <w:p w:rsidR="00421D74" w:rsidRPr="00172669" w:rsidRDefault="00421D74" w:rsidP="00691782">
            <w:pPr>
              <w:spacing w:after="0"/>
              <w:jc w:val="right"/>
              <w:rPr>
                <w:rFonts w:cs="Arial"/>
                <w:b/>
                <w:bCs/>
              </w:rPr>
            </w:pPr>
            <w:r w:rsidRPr="00172669">
              <w:rPr>
                <w:rFonts w:cs="Arial"/>
                <w:b/>
                <w:bCs/>
              </w:rPr>
              <w:t>Year 3</w:t>
            </w:r>
          </w:p>
          <w:p w:rsidR="00421D74" w:rsidRPr="00172669" w:rsidRDefault="00421D74" w:rsidP="00691782">
            <w:pPr>
              <w:spacing w:after="0"/>
              <w:jc w:val="right"/>
              <w:rPr>
                <w:rFonts w:cs="Arial"/>
                <w:bCs/>
              </w:rPr>
            </w:pPr>
          </w:p>
        </w:tc>
      </w:tr>
      <w:tr w:rsidR="00421D74" w:rsidRPr="00172669" w:rsidTr="00172669">
        <w:trPr>
          <w:trHeight w:val="397"/>
          <w:jc w:val="center"/>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21D74" w:rsidRPr="00172669" w:rsidRDefault="00421D74" w:rsidP="00C02F3A">
            <w:pPr>
              <w:spacing w:after="0"/>
              <w:rPr>
                <w:rFonts w:cs="Arial"/>
                <w:bCs/>
              </w:rPr>
            </w:pPr>
            <w:r w:rsidRPr="00172669">
              <w:rPr>
                <w:rFonts w:cs="Arial"/>
                <w:bCs/>
              </w:rPr>
              <w:t>Based on preferred commissioning option</w:t>
            </w:r>
          </w:p>
        </w:tc>
        <w:tc>
          <w:tcPr>
            <w:tcW w:w="179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21D74" w:rsidRPr="00172669" w:rsidRDefault="00421D74" w:rsidP="00691782">
            <w:pPr>
              <w:spacing w:after="0"/>
              <w:jc w:val="right"/>
              <w:rPr>
                <w:rFonts w:cs="Arial"/>
                <w:b/>
                <w:bCs/>
              </w:rPr>
            </w:pPr>
            <w:r w:rsidRPr="00172669">
              <w:rPr>
                <w:rFonts w:cs="Arial"/>
                <w:b/>
                <w:bCs/>
              </w:rPr>
              <w:t>£1,246,000</w:t>
            </w:r>
          </w:p>
        </w:tc>
        <w:tc>
          <w:tcPr>
            <w:tcW w:w="1749" w:type="dxa"/>
            <w:tcBorders>
              <w:top w:val="single" w:sz="8" w:space="0" w:color="auto"/>
              <w:left w:val="nil"/>
              <w:bottom w:val="single" w:sz="8" w:space="0" w:color="auto"/>
              <w:right w:val="single" w:sz="8" w:space="0" w:color="auto"/>
            </w:tcBorders>
          </w:tcPr>
          <w:p w:rsidR="00421D74" w:rsidRPr="00172669" w:rsidRDefault="00421D74" w:rsidP="00691782">
            <w:pPr>
              <w:spacing w:after="0"/>
              <w:jc w:val="right"/>
              <w:rPr>
                <w:rFonts w:cs="Arial"/>
                <w:b/>
                <w:bCs/>
              </w:rPr>
            </w:pPr>
            <w:r w:rsidRPr="00172669">
              <w:rPr>
                <w:rFonts w:cs="Arial"/>
                <w:b/>
                <w:bCs/>
              </w:rPr>
              <w:t>£847,000</w:t>
            </w:r>
          </w:p>
        </w:tc>
        <w:tc>
          <w:tcPr>
            <w:tcW w:w="1872" w:type="dxa"/>
            <w:tcBorders>
              <w:top w:val="single" w:sz="8" w:space="0" w:color="auto"/>
              <w:left w:val="nil"/>
              <w:bottom w:val="single" w:sz="8" w:space="0" w:color="auto"/>
              <w:right w:val="single" w:sz="8" w:space="0" w:color="auto"/>
            </w:tcBorders>
          </w:tcPr>
          <w:p w:rsidR="00421D74" w:rsidRPr="00172669" w:rsidRDefault="00421D74" w:rsidP="00691782">
            <w:pPr>
              <w:spacing w:after="0"/>
              <w:jc w:val="right"/>
              <w:rPr>
                <w:rFonts w:cs="Arial"/>
                <w:b/>
                <w:bCs/>
              </w:rPr>
            </w:pPr>
            <w:r w:rsidRPr="00172669">
              <w:rPr>
                <w:rFonts w:cs="Arial"/>
                <w:b/>
                <w:bCs/>
              </w:rPr>
              <w:t>£847,000</w:t>
            </w:r>
          </w:p>
        </w:tc>
      </w:tr>
      <w:tr w:rsidR="00421D74" w:rsidRPr="00172669" w:rsidTr="00172669">
        <w:trPr>
          <w:trHeight w:val="397"/>
          <w:jc w:val="center"/>
        </w:trPr>
        <w:tc>
          <w:tcPr>
            <w:tcW w:w="637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21D74" w:rsidRPr="00172669" w:rsidRDefault="00421D74" w:rsidP="00691782">
            <w:pPr>
              <w:spacing w:after="0"/>
              <w:jc w:val="right"/>
              <w:rPr>
                <w:rFonts w:cs="Arial"/>
                <w:b/>
                <w:bCs/>
              </w:rPr>
            </w:pPr>
            <w:r w:rsidRPr="00172669">
              <w:rPr>
                <w:rFonts w:cs="Arial"/>
                <w:b/>
                <w:bCs/>
              </w:rPr>
              <w:t>Total</w:t>
            </w:r>
          </w:p>
        </w:tc>
        <w:tc>
          <w:tcPr>
            <w:tcW w:w="1872" w:type="dxa"/>
            <w:tcBorders>
              <w:top w:val="single" w:sz="8" w:space="0" w:color="auto"/>
              <w:left w:val="nil"/>
              <w:bottom w:val="single" w:sz="8" w:space="0" w:color="auto"/>
              <w:right w:val="single" w:sz="8" w:space="0" w:color="auto"/>
            </w:tcBorders>
            <w:vAlign w:val="bottom"/>
          </w:tcPr>
          <w:p w:rsidR="00421D74" w:rsidRPr="00172669" w:rsidRDefault="00421D74" w:rsidP="00691782">
            <w:pPr>
              <w:spacing w:after="0"/>
              <w:jc w:val="right"/>
              <w:rPr>
                <w:rFonts w:cs="Arial"/>
                <w:b/>
                <w:bCs/>
              </w:rPr>
            </w:pPr>
            <w:r w:rsidRPr="00172669">
              <w:rPr>
                <w:rFonts w:cs="Arial"/>
                <w:b/>
                <w:bCs/>
              </w:rPr>
              <w:t>£2,940,000</w:t>
            </w:r>
          </w:p>
        </w:tc>
      </w:tr>
    </w:tbl>
    <w:p w:rsidR="00C00E86" w:rsidRDefault="00421D74" w:rsidP="00421D74">
      <w:pPr>
        <w:pStyle w:val="bParagraphtext"/>
        <w:numPr>
          <w:ilvl w:val="0"/>
          <w:numId w:val="0"/>
        </w:numPr>
        <w:ind w:left="426"/>
      </w:pPr>
      <w:r>
        <w:t xml:space="preserve"> </w:t>
      </w:r>
    </w:p>
    <w:p w:rsidR="00C00E86" w:rsidRDefault="00C00E86" w:rsidP="00175B0E">
      <w:pPr>
        <w:pStyle w:val="bParagraphtext"/>
      </w:pPr>
      <w:r>
        <w:t xml:space="preserve">Year 1 has been allocated significantly more funds due to </w:t>
      </w:r>
      <w:r w:rsidR="00762680">
        <w:t xml:space="preserve">the </w:t>
      </w:r>
      <w:r>
        <w:t xml:space="preserve">transition from current services to new arrangements. There is a strong commitment from all parties to provide sufficient time and funds for a well-planned transition. </w:t>
      </w:r>
    </w:p>
    <w:p w:rsidR="00C00E86" w:rsidRDefault="00421D74" w:rsidP="00175B0E">
      <w:pPr>
        <w:pStyle w:val="bParagraphtext"/>
      </w:pPr>
      <w:r>
        <w:t>Year 2 and y</w:t>
      </w:r>
      <w:r w:rsidR="00C00E86">
        <w:t xml:space="preserve">ear 3 will see </w:t>
      </w:r>
      <w:r w:rsidR="00762680">
        <w:t xml:space="preserve">the </w:t>
      </w:r>
      <w:r w:rsidR="00C00E86">
        <w:t>new arrangement and services in place.</w:t>
      </w:r>
      <w:r>
        <w:t xml:space="preserve"> There is no commitment for contribution</w:t>
      </w:r>
      <w:r w:rsidR="006A3F11">
        <w:t xml:space="preserve"> beyond the first 3 years</w:t>
      </w:r>
      <w:r>
        <w:t xml:space="preserve"> from any of the parties at the present time. A review will be carried out early in year 3 in order for all parties to make a decision on funding for year 4 and 5. </w:t>
      </w:r>
    </w:p>
    <w:p w:rsidR="006F75BE" w:rsidRDefault="009002A5" w:rsidP="00175B0E">
      <w:pPr>
        <w:pStyle w:val="bParagraphtext"/>
      </w:pPr>
      <w:r>
        <w:t>The pool</w:t>
      </w:r>
      <w:r w:rsidR="002A1A4C">
        <w:t>ed</w:t>
      </w:r>
      <w:r>
        <w:t xml:space="preserve"> budget </w:t>
      </w:r>
      <w:r w:rsidR="006A3FD6">
        <w:t>requires Oxford City Council to make a contribution of £161,</w:t>
      </w:r>
      <w:r w:rsidR="00A92729">
        <w:t>700</w:t>
      </w:r>
      <w:r w:rsidR="006A3FD6">
        <w:t xml:space="preserve"> per year</w:t>
      </w:r>
      <w:r w:rsidR="00421D74">
        <w:t xml:space="preserve"> for three years</w:t>
      </w:r>
      <w:r w:rsidR="00A92729">
        <w:t>.</w:t>
      </w:r>
      <w:r w:rsidR="006A3FD6">
        <w:t xml:space="preserve"> These funds will be sourced from the current </w:t>
      </w:r>
      <w:r w:rsidR="002A1A4C">
        <w:t xml:space="preserve">Preventing </w:t>
      </w:r>
      <w:r w:rsidR="006A3FD6">
        <w:t>Homeless</w:t>
      </w:r>
      <w:r w:rsidR="00F8614D">
        <w:t xml:space="preserve">ness </w:t>
      </w:r>
      <w:r w:rsidR="002A1A4C">
        <w:t>r</w:t>
      </w:r>
      <w:r w:rsidR="00F8614D">
        <w:t xml:space="preserve">evenue </w:t>
      </w:r>
      <w:r w:rsidR="002A1A4C">
        <w:t>base budget</w:t>
      </w:r>
      <w:r w:rsidR="006A3FD6">
        <w:t>. See financial implications below.</w:t>
      </w:r>
    </w:p>
    <w:p w:rsidR="00172669" w:rsidRDefault="00172669" w:rsidP="00172669">
      <w:pPr>
        <w:pStyle w:val="bParagraphtext"/>
        <w:numPr>
          <w:ilvl w:val="0"/>
          <w:numId w:val="0"/>
        </w:numPr>
        <w:ind w:left="426"/>
      </w:pPr>
    </w:p>
    <w:p w:rsidR="00C00E86" w:rsidRPr="001356F1" w:rsidRDefault="00C00E86" w:rsidP="00C00E86">
      <w:pPr>
        <w:pStyle w:val="Heading1"/>
      </w:pPr>
      <w:r>
        <w:lastRenderedPageBreak/>
        <w:t>Agreed commissioning option</w:t>
      </w:r>
    </w:p>
    <w:p w:rsidR="00C00E86" w:rsidRDefault="00C00E86" w:rsidP="00C00E86">
      <w:pPr>
        <w:pStyle w:val="bParagraphtext"/>
      </w:pPr>
      <w:r>
        <w:t>The agreed option for services will see a reduction in units</w:t>
      </w:r>
      <w:r w:rsidR="003F3C0F">
        <w:t>.</w:t>
      </w:r>
      <w:r>
        <w:t xml:space="preserve"> The new option will provide the f</w:t>
      </w:r>
      <w:r w:rsidR="008979B8">
        <w:t>ol</w:t>
      </w:r>
      <w:r>
        <w:t>lowing:</w:t>
      </w:r>
    </w:p>
    <w:p w:rsidR="00C00E86" w:rsidRDefault="00C00E86" w:rsidP="00C00E86">
      <w:pPr>
        <w:pStyle w:val="bParagraphtext"/>
        <w:numPr>
          <w:ilvl w:val="1"/>
          <w:numId w:val="14"/>
        </w:numPr>
      </w:pPr>
      <w:r>
        <w:t>56 units of accommodation for clients with complex needs</w:t>
      </w:r>
      <w:r w:rsidR="008979B8">
        <w:t xml:space="preserve"> for use by all Districts but based in the city</w:t>
      </w:r>
      <w:r w:rsidR="0001426B">
        <w:t>.</w:t>
      </w:r>
      <w:r>
        <w:t xml:space="preserve"> Provision will be jointly commissioned and monitored and number of units allocated depending on current usage</w:t>
      </w:r>
      <w:r w:rsidR="0001426B">
        <w:t>.</w:t>
      </w:r>
      <w:r>
        <w:t xml:space="preserve"> This is a reduction from the current 107 units used for complex needs. </w:t>
      </w:r>
    </w:p>
    <w:p w:rsidR="00C00E86" w:rsidRDefault="00C00E86" w:rsidP="00C00E86">
      <w:pPr>
        <w:pStyle w:val="bParagraphtext"/>
        <w:numPr>
          <w:ilvl w:val="1"/>
          <w:numId w:val="14"/>
        </w:numPr>
      </w:pPr>
      <w:r>
        <w:t>Retention of local services in Districts. This provision will be commissioned and monitored by each individual District.</w:t>
      </w:r>
    </w:p>
    <w:p w:rsidR="00C00E86" w:rsidRDefault="00C00E86" w:rsidP="00C00E86">
      <w:pPr>
        <w:pStyle w:val="bParagraphtext"/>
        <w:numPr>
          <w:ilvl w:val="1"/>
          <w:numId w:val="14"/>
        </w:numPr>
      </w:pPr>
      <w:r>
        <w:t>Retention of some current accommodation units in the city</w:t>
      </w:r>
      <w:r w:rsidR="008979B8">
        <w:t xml:space="preserve"> for city use</w:t>
      </w:r>
      <w:r>
        <w:t xml:space="preserve">, </w:t>
      </w:r>
      <w:r w:rsidR="008979B8">
        <w:t xml:space="preserve">estimated </w:t>
      </w:r>
      <w:r>
        <w:t xml:space="preserve">between 42 and 50 units. City officers will work with providers and partners to source the best option based on need for the city. This provision will be commissioned and monitored by the City. </w:t>
      </w:r>
    </w:p>
    <w:p w:rsidR="00E87F7A" w:rsidRPr="00323C26" w:rsidRDefault="009002A5" w:rsidP="00323C26">
      <w:pPr>
        <w:pStyle w:val="Heading1"/>
      </w:pPr>
      <w:r w:rsidRPr="00323C26">
        <w:t xml:space="preserve">Implication for Oxford City Council </w:t>
      </w:r>
      <w:r w:rsidR="00E87F7A" w:rsidRPr="00323C26">
        <w:t xml:space="preserve"> </w:t>
      </w:r>
    </w:p>
    <w:p w:rsidR="00944019" w:rsidRDefault="00A93251" w:rsidP="00944019">
      <w:pPr>
        <w:pStyle w:val="ListParagraph"/>
      </w:pPr>
      <w:r>
        <w:t>The pooled budget arrangements means significant change to current adult homeless accommodation provided as a whole for Oxfordshire. The</w:t>
      </w:r>
      <w:r w:rsidR="00175B0E">
        <w:t xml:space="preserve">re will be a reduction in units </w:t>
      </w:r>
      <w:r w:rsidR="00F8614D">
        <w:t xml:space="preserve">– from the current total of 285, to between 131 and 139 units. This means a reduction of </w:t>
      </w:r>
      <w:r>
        <w:t xml:space="preserve">between </w:t>
      </w:r>
      <w:r w:rsidR="00175B0E">
        <w:t>146</w:t>
      </w:r>
      <w:r>
        <w:t xml:space="preserve"> and </w:t>
      </w:r>
      <w:r w:rsidR="00175B0E">
        <w:t>154</w:t>
      </w:r>
      <w:r w:rsidR="00F8614D">
        <w:t xml:space="preserve"> units. </w:t>
      </w:r>
    </w:p>
    <w:p w:rsidR="00C00E86" w:rsidRDefault="00C00E86" w:rsidP="00944019">
      <w:pPr>
        <w:pStyle w:val="ListParagraph"/>
      </w:pPr>
      <w:r>
        <w:t xml:space="preserve">The pooled budget will fund </w:t>
      </w:r>
      <w:r w:rsidR="008979B8">
        <w:t xml:space="preserve">an estimated total of </w:t>
      </w:r>
      <w:r>
        <w:t xml:space="preserve">between </w:t>
      </w:r>
      <w:r w:rsidR="00D621F0">
        <w:t xml:space="preserve">69 </w:t>
      </w:r>
      <w:r>
        <w:t xml:space="preserve">and </w:t>
      </w:r>
      <w:r w:rsidR="00D621F0">
        <w:t xml:space="preserve">77 </w:t>
      </w:r>
      <w:r>
        <w:t xml:space="preserve">units for </w:t>
      </w:r>
      <w:r w:rsidR="00ED130A">
        <w:t xml:space="preserve">clients with an Oxford </w:t>
      </w:r>
      <w:r>
        <w:t>City</w:t>
      </w:r>
      <w:r w:rsidR="0028344A">
        <w:t xml:space="preserve"> </w:t>
      </w:r>
      <w:r w:rsidR="00ED130A">
        <w:t xml:space="preserve">connection to </w:t>
      </w:r>
      <w:r>
        <w:t>use</w:t>
      </w:r>
      <w:r w:rsidR="008979B8">
        <w:t>, including a proportion of complex needs beds</w:t>
      </w:r>
      <w:r w:rsidR="00BC0D79">
        <w:t xml:space="preserve"> for each of the first 3 years</w:t>
      </w:r>
      <w:r w:rsidR="008979B8">
        <w:t>.</w:t>
      </w:r>
      <w:r w:rsidR="00F8614D">
        <w:t xml:space="preserve"> </w:t>
      </w:r>
      <w:r w:rsidR="00E3628A">
        <w:t xml:space="preserve"> </w:t>
      </w:r>
      <w:r w:rsidR="009179DA">
        <w:t xml:space="preserve"> </w:t>
      </w:r>
    </w:p>
    <w:p w:rsidR="009179DA" w:rsidRDefault="00175B0E" w:rsidP="00944019">
      <w:pPr>
        <w:pStyle w:val="ListParagraph"/>
      </w:pPr>
      <w:r>
        <w:t>City Council office</w:t>
      </w:r>
      <w:r w:rsidR="0028344A">
        <w:t>r</w:t>
      </w:r>
      <w:r>
        <w:t>s are working on the</w:t>
      </w:r>
      <w:r w:rsidR="0028344A">
        <w:t xml:space="preserve"> </w:t>
      </w:r>
      <w:r w:rsidR="00762680">
        <w:t xml:space="preserve">estimate </w:t>
      </w:r>
      <w:r w:rsidR="004E554C">
        <w:t>t</w:t>
      </w:r>
      <w:r>
        <w:t xml:space="preserve">hat </w:t>
      </w:r>
      <w:r w:rsidR="0028344A">
        <w:t xml:space="preserve">the </w:t>
      </w:r>
      <w:r>
        <w:t xml:space="preserve">City needs a total of 150 units </w:t>
      </w:r>
      <w:r w:rsidR="0028344A">
        <w:t xml:space="preserve">per year currently </w:t>
      </w:r>
      <w:r>
        <w:t xml:space="preserve">in order to cater for the City’s </w:t>
      </w:r>
      <w:r w:rsidR="0028344A">
        <w:t>singl</w:t>
      </w:r>
      <w:r w:rsidR="009755F2">
        <w:t>e</w:t>
      </w:r>
      <w:r w:rsidR="0028344A">
        <w:t xml:space="preserve"> homeless </w:t>
      </w:r>
      <w:r>
        <w:t xml:space="preserve">need. This means that Oxford City Council will </w:t>
      </w:r>
      <w:r w:rsidR="0028344A">
        <w:t>have</w:t>
      </w:r>
      <w:r>
        <w:t xml:space="preserve"> to </w:t>
      </w:r>
      <w:r w:rsidR="00421D74">
        <w:t>consider funding a</w:t>
      </w:r>
      <w:r w:rsidR="009179DA">
        <w:t xml:space="preserve"> number of units </w:t>
      </w:r>
      <w:r>
        <w:t xml:space="preserve">from </w:t>
      </w:r>
      <w:r w:rsidR="0028344A">
        <w:t xml:space="preserve">our existing base budget </w:t>
      </w:r>
      <w:r>
        <w:t>funds</w:t>
      </w:r>
      <w:r w:rsidR="00D621F0">
        <w:t xml:space="preserve"> outside </w:t>
      </w:r>
      <w:r w:rsidR="0028344A">
        <w:t>the</w:t>
      </w:r>
      <w:r w:rsidR="00D621F0">
        <w:t xml:space="preserve"> pooled budget (</w:t>
      </w:r>
      <w:r w:rsidR="00164A16">
        <w:t xml:space="preserve">estimated </w:t>
      </w:r>
      <w:r w:rsidR="00D621F0">
        <w:t>between 73 and 81 units)</w:t>
      </w:r>
      <w:r w:rsidR="0028344A">
        <w:t xml:space="preserve"> provision</w:t>
      </w:r>
      <w:r w:rsidR="009179DA">
        <w:t>. This w</w:t>
      </w:r>
      <w:r w:rsidR="00853EAF">
        <w:t xml:space="preserve">ould </w:t>
      </w:r>
      <w:r w:rsidR="009179DA">
        <w:t>have a significant impact on Oxford City Council’s Homelessness Revenue Allocation funds.</w:t>
      </w:r>
      <w:r w:rsidR="00762680">
        <w:t xml:space="preserve">  A r</w:t>
      </w:r>
      <w:r w:rsidR="009179DA">
        <w:t xml:space="preserve">ecommendation for spend of </w:t>
      </w:r>
      <w:r w:rsidR="00421D74">
        <w:t>remaining</w:t>
      </w:r>
      <w:r w:rsidR="009179DA">
        <w:t xml:space="preserve"> funds will be made to CEB.</w:t>
      </w:r>
    </w:p>
    <w:p w:rsidR="0062687F" w:rsidRPr="003A6D14" w:rsidRDefault="009179DA" w:rsidP="0062687F">
      <w:pPr>
        <w:pStyle w:val="ListParagraph"/>
      </w:pPr>
      <w:r>
        <w:t xml:space="preserve">Any accommodation funded </w:t>
      </w:r>
      <w:r w:rsidR="0028344A">
        <w:t xml:space="preserve">independently </w:t>
      </w:r>
      <w:r>
        <w:t xml:space="preserve">by </w:t>
      </w:r>
      <w:r w:rsidR="0028344A">
        <w:t xml:space="preserve">the </w:t>
      </w:r>
      <w:r>
        <w:t xml:space="preserve">City </w:t>
      </w:r>
      <w:r w:rsidR="0028344A">
        <w:t xml:space="preserve">Council </w:t>
      </w:r>
      <w:r>
        <w:t xml:space="preserve">from </w:t>
      </w:r>
      <w:r w:rsidR="00762680">
        <w:t>its</w:t>
      </w:r>
      <w:r w:rsidR="0028344A">
        <w:t xml:space="preserve"> </w:t>
      </w:r>
      <w:r>
        <w:t xml:space="preserve">own funds, </w:t>
      </w:r>
      <w:r w:rsidR="00175B0E">
        <w:t>will not be part of the pooled budget arrangements.</w:t>
      </w:r>
    </w:p>
    <w:p w:rsidR="00175B0E" w:rsidRDefault="003A6D14" w:rsidP="0062687F">
      <w:pPr>
        <w:pStyle w:val="bParagraphtext"/>
      </w:pPr>
      <w:r>
        <w:t>Oxford City Council and p</w:t>
      </w:r>
      <w:r w:rsidR="0062687F">
        <w:t>artners also note th</w:t>
      </w:r>
      <w:r>
        <w:t xml:space="preserve">at there is uncertainty </w:t>
      </w:r>
      <w:r w:rsidR="0062687F">
        <w:t xml:space="preserve">over the future level of </w:t>
      </w:r>
      <w:r w:rsidR="00E61795">
        <w:t xml:space="preserve">rent eligible for </w:t>
      </w:r>
      <w:r w:rsidR="0062687F">
        <w:t>Housing Benefit for supported accommodation.</w:t>
      </w:r>
      <w:r>
        <w:t xml:space="preserve"> Organisations providing supported housing rely heavily on income from an enhanced level of Housing Benefit. </w:t>
      </w:r>
      <w:r w:rsidR="0062687F">
        <w:t xml:space="preserve">The Government is </w:t>
      </w:r>
      <w:r w:rsidR="00E61795">
        <w:t xml:space="preserve">expected to make a decision within the next 12 months if eligible rent for supported housing is to be restricted. </w:t>
      </w:r>
      <w:r w:rsidR="0062687F">
        <w:t>Any such re</w:t>
      </w:r>
      <w:r w:rsidR="00E61795">
        <w:t xml:space="preserve">striction </w:t>
      </w:r>
      <w:r w:rsidR="0062687F">
        <w:t>would pos</w:t>
      </w:r>
      <w:r>
        <w:t>e a serious threat to services</w:t>
      </w:r>
      <w:r w:rsidR="0062687F">
        <w:t xml:space="preserve">, to which commissioners </w:t>
      </w:r>
      <w:r w:rsidR="00E61795">
        <w:t xml:space="preserve">for future service </w:t>
      </w:r>
      <w:r w:rsidR="0062687F">
        <w:t xml:space="preserve">may need to respond.  </w:t>
      </w:r>
    </w:p>
    <w:p w:rsidR="008018F2" w:rsidRPr="001356F1" w:rsidRDefault="00AE78A2" w:rsidP="008018F2">
      <w:pPr>
        <w:pStyle w:val="Heading1"/>
      </w:pPr>
      <w:r>
        <w:t>Governance A</w:t>
      </w:r>
      <w:r w:rsidR="008018F2">
        <w:t>greement</w:t>
      </w:r>
    </w:p>
    <w:p w:rsidR="008018F2" w:rsidRDefault="0088206E" w:rsidP="008018F2">
      <w:pPr>
        <w:pStyle w:val="bParagraphtext"/>
      </w:pPr>
      <w:r>
        <w:t xml:space="preserve">An outline </w:t>
      </w:r>
      <w:r w:rsidR="00AE78A2">
        <w:t>Governance A</w:t>
      </w:r>
      <w:r>
        <w:t xml:space="preserve">greement has been developed </w:t>
      </w:r>
      <w:r w:rsidR="00192E2D">
        <w:t xml:space="preserve">and agreed </w:t>
      </w:r>
      <w:r>
        <w:t>by officers from the parties contributing to the pooled budget</w:t>
      </w:r>
      <w:r w:rsidR="00192E2D">
        <w:t xml:space="preserve">, setting out </w:t>
      </w:r>
      <w:r w:rsidR="008018F2">
        <w:t>the working relationship between the parties; commitment to funding; decision making process; and reporting structures.</w:t>
      </w:r>
    </w:p>
    <w:p w:rsidR="00192E2D" w:rsidRDefault="00AE78A2" w:rsidP="008018F2">
      <w:pPr>
        <w:pStyle w:val="bParagraphtext"/>
      </w:pPr>
      <w:r>
        <w:t>The final Governance A</w:t>
      </w:r>
      <w:r w:rsidR="00192E2D">
        <w:t xml:space="preserve">greement would have to be agreed and formally signed by all parties before April 2017. </w:t>
      </w:r>
    </w:p>
    <w:p w:rsidR="008979B8" w:rsidRDefault="008979B8" w:rsidP="008018F2">
      <w:pPr>
        <w:pStyle w:val="bParagraphtext"/>
      </w:pPr>
      <w:r>
        <w:lastRenderedPageBreak/>
        <w:t xml:space="preserve">Oxfordshire County Council will hold the pooled budget and </w:t>
      </w:r>
      <w:r w:rsidR="0028344A">
        <w:t xml:space="preserve">act as the accountable body and </w:t>
      </w:r>
      <w:r w:rsidR="004D6B6A">
        <w:t xml:space="preserve">the final </w:t>
      </w:r>
      <w:r>
        <w:t xml:space="preserve">Governance Agreement will ensure this clarifies </w:t>
      </w:r>
      <w:r w:rsidR="004D6B6A">
        <w:t>liabilities</w:t>
      </w:r>
      <w:r w:rsidR="00BC0D79">
        <w:t xml:space="preserve"> and obligations of parties</w:t>
      </w:r>
      <w:r w:rsidR="004D6B6A">
        <w:t xml:space="preserve"> </w:t>
      </w:r>
      <w:r>
        <w:t>in the event of any over/underspend</w:t>
      </w:r>
      <w:r w:rsidR="0028344A">
        <w:t xml:space="preserve"> during any one financial of the agreement</w:t>
      </w:r>
      <w:r>
        <w:t>.</w:t>
      </w:r>
    </w:p>
    <w:p w:rsidR="00C85B4E" w:rsidRPr="008018F2" w:rsidRDefault="00192E2D" w:rsidP="008018F2">
      <w:pPr>
        <w:pStyle w:val="bParagraphtext"/>
        <w:rPr>
          <w:rStyle w:val="Firstpagetablebold"/>
          <w:b w:val="0"/>
        </w:rPr>
      </w:pPr>
      <w:r>
        <w:t>It is proposed that a</w:t>
      </w:r>
      <w:r w:rsidR="008018F2">
        <w:t xml:space="preserve">n ‘officer group’ </w:t>
      </w:r>
      <w:r w:rsidR="00421D74">
        <w:t xml:space="preserve">– Housing Related Support </w:t>
      </w:r>
      <w:r w:rsidR="00226607">
        <w:t xml:space="preserve">Joint Management Group - </w:t>
      </w:r>
      <w:r w:rsidR="008979B8">
        <w:t xml:space="preserve">agree a commissioning approach as well as </w:t>
      </w:r>
      <w:r w:rsidR="008018F2">
        <w:t xml:space="preserve">report into </w:t>
      </w:r>
      <w:r w:rsidR="00421D74">
        <w:t>HIB</w:t>
      </w:r>
      <w:r w:rsidR="008018F2">
        <w:t xml:space="preserve"> in </w:t>
      </w:r>
      <w:r w:rsidR="00AE78A2">
        <w:t>order to ensure the Governance A</w:t>
      </w:r>
      <w:r w:rsidR="008018F2">
        <w:t xml:space="preserve">greement is adhered to. </w:t>
      </w:r>
    </w:p>
    <w:p w:rsidR="0040736F" w:rsidRPr="001356F1" w:rsidRDefault="002329CF" w:rsidP="004A6D2F">
      <w:pPr>
        <w:pStyle w:val="Heading1"/>
      </w:pPr>
      <w:r w:rsidRPr="001356F1">
        <w:t>Financial implications</w:t>
      </w:r>
    </w:p>
    <w:p w:rsidR="00D20204" w:rsidRPr="001356F1" w:rsidRDefault="00AE646F" w:rsidP="00D20204">
      <w:pPr>
        <w:pStyle w:val="ListParagraph"/>
      </w:pPr>
      <w:r>
        <w:t xml:space="preserve">Expenditure towards the pooled budget will be met from </w:t>
      </w:r>
      <w:r w:rsidR="00BC0D79">
        <w:t xml:space="preserve">the </w:t>
      </w:r>
      <w:r>
        <w:t>City Council</w:t>
      </w:r>
      <w:r w:rsidR="00BC0D79">
        <w:t>’s</w:t>
      </w:r>
      <w:r>
        <w:t xml:space="preserve"> Homeless</w:t>
      </w:r>
      <w:r w:rsidR="00D20204">
        <w:t xml:space="preserve">ness </w:t>
      </w:r>
      <w:r w:rsidR="00BC0D79">
        <w:t>Preventi</w:t>
      </w:r>
      <w:r w:rsidR="006E0EB7">
        <w:t>on</w:t>
      </w:r>
      <w:r w:rsidR="00BC0D79">
        <w:t xml:space="preserve"> funds base budget </w:t>
      </w:r>
      <w:proofErr w:type="gramStart"/>
      <w:r w:rsidR="00BC0D79">
        <w:t>provision</w:t>
      </w:r>
      <w:r w:rsidR="00662BA0">
        <w:t>,</w:t>
      </w:r>
      <w:r w:rsidR="00BC0D79">
        <w:t xml:space="preserve"> that</w:t>
      </w:r>
      <w:proofErr w:type="gramEnd"/>
      <w:r w:rsidR="00BC0D79">
        <w:t xml:space="preserve"> is included within the Council’s existing Medium Term Financial Plan. </w:t>
      </w:r>
      <w:r w:rsidR="00762680">
        <w:t>The i</w:t>
      </w:r>
      <w:r w:rsidR="00D20204">
        <w:t>mplication</w:t>
      </w:r>
      <w:r w:rsidR="009002A5">
        <w:t>s</w:t>
      </w:r>
      <w:r>
        <w:t xml:space="preserve"> of th</w:t>
      </w:r>
      <w:r w:rsidR="00D20204">
        <w:t>e pooled budget arrangement</w:t>
      </w:r>
      <w:r w:rsidR="009002A5">
        <w:t xml:space="preserve">, combined with </w:t>
      </w:r>
      <w:r w:rsidR="00853EAF">
        <w:t>any</w:t>
      </w:r>
      <w:r w:rsidR="009002A5">
        <w:t xml:space="preserve"> need for Oxford City to fund a </w:t>
      </w:r>
      <w:r w:rsidR="00D621F0">
        <w:t xml:space="preserve">large </w:t>
      </w:r>
      <w:r w:rsidR="009002A5">
        <w:t xml:space="preserve">number of units from </w:t>
      </w:r>
      <w:r w:rsidR="00D621F0">
        <w:t xml:space="preserve">Homelessness Revenue Allocation funds </w:t>
      </w:r>
      <w:r w:rsidR="009002A5">
        <w:t xml:space="preserve"> in order to meet needs, </w:t>
      </w:r>
      <w:r w:rsidR="00853EAF">
        <w:t xml:space="preserve">could make less </w:t>
      </w:r>
      <w:r>
        <w:t xml:space="preserve">funds available </w:t>
      </w:r>
      <w:r w:rsidR="00D20204">
        <w:t xml:space="preserve">for </w:t>
      </w:r>
      <w:r w:rsidR="009002A5">
        <w:t xml:space="preserve">currently funded </w:t>
      </w:r>
      <w:r w:rsidR="00D20204">
        <w:t xml:space="preserve"> services and organisations</w:t>
      </w:r>
      <w:r w:rsidR="00853EAF">
        <w:t>.</w:t>
      </w:r>
    </w:p>
    <w:p w:rsidR="0040736F" w:rsidRPr="001356F1" w:rsidRDefault="00DA614B" w:rsidP="004A6D2F">
      <w:pPr>
        <w:pStyle w:val="Heading1"/>
      </w:pPr>
      <w:r w:rsidRPr="001356F1">
        <w:t>Legal issues</w:t>
      </w:r>
    </w:p>
    <w:p w:rsidR="00D20204" w:rsidRPr="001356F1" w:rsidRDefault="00D20204" w:rsidP="00D20204">
      <w:pPr>
        <w:pStyle w:val="ListParagraph"/>
      </w:pPr>
      <w:r>
        <w:t>All parties will sign up to a Governance Agreement</w:t>
      </w:r>
      <w:r w:rsidR="00E87F7A" w:rsidRPr="001356F1">
        <w:t>.</w:t>
      </w:r>
      <w:r>
        <w:t xml:space="preserve"> This agreement will have been signed off by the parties</w:t>
      </w:r>
      <w:r w:rsidR="009002A5">
        <w:t xml:space="preserve">’ respective </w:t>
      </w:r>
      <w:r>
        <w:t xml:space="preserve">legal teams. </w:t>
      </w:r>
      <w:r w:rsidR="00853EAF">
        <w:t xml:space="preserve">All </w:t>
      </w:r>
      <w:r w:rsidR="0028344A">
        <w:t>parties</w:t>
      </w:r>
      <w:r w:rsidR="00853EAF">
        <w:t xml:space="preserve"> </w:t>
      </w:r>
      <w:r w:rsidR="0028344A">
        <w:t>to the agreement are currently seeking approval to the pooling proposal from their policy making bodies.</w:t>
      </w:r>
      <w:r w:rsidR="00853EAF">
        <w:t xml:space="preserve"> </w:t>
      </w:r>
    </w:p>
    <w:p w:rsidR="002329CF" w:rsidRPr="001356F1" w:rsidRDefault="002329CF" w:rsidP="004A6D2F">
      <w:pPr>
        <w:pStyle w:val="Heading1"/>
      </w:pPr>
      <w:r w:rsidRPr="001356F1">
        <w:t>Level of risk</w:t>
      </w:r>
    </w:p>
    <w:p w:rsidR="00BC69A4" w:rsidRPr="001356F1" w:rsidRDefault="00AE646F" w:rsidP="005570B5">
      <w:pPr>
        <w:pStyle w:val="ListParagraph"/>
      </w:pPr>
      <w:r>
        <w:t>Risk Re</w:t>
      </w:r>
      <w:r w:rsidR="00192E2D">
        <w:t>gister is attached in Appendix 1</w:t>
      </w:r>
      <w:r w:rsidR="0093067A" w:rsidRPr="001356F1">
        <w:t>.</w:t>
      </w:r>
    </w:p>
    <w:p w:rsidR="002329CF" w:rsidRPr="001356F1" w:rsidRDefault="002329CF" w:rsidP="0050321C">
      <w:pPr>
        <w:pStyle w:val="Heading1"/>
      </w:pPr>
      <w:r w:rsidRPr="001356F1">
        <w:t xml:space="preserve">Equalities impact </w:t>
      </w:r>
    </w:p>
    <w:p w:rsidR="002329CF" w:rsidRPr="001356F1" w:rsidRDefault="00226607" w:rsidP="005570B5">
      <w:pPr>
        <w:pStyle w:val="ListParagraph"/>
      </w:pPr>
      <w:r>
        <w:t>This intervention will maintain some services for vulnerable single homeless people that would otherwise be cut. Therefore there is a positive impact on vulnerable homeless people, and in particular those with complex need.</w:t>
      </w:r>
    </w:p>
    <w:p w:rsidR="00E87F7A" w:rsidRPr="001356F1" w:rsidRDefault="00E87F7A" w:rsidP="00E87F7A">
      <w:pPr>
        <w:pStyle w:val="Heading1"/>
      </w:pPr>
      <w:r w:rsidRPr="001356F1">
        <w:t>Conclusion</w:t>
      </w:r>
    </w:p>
    <w:p w:rsidR="00AB4722" w:rsidRDefault="00AB4722" w:rsidP="00E206D6">
      <w:pPr>
        <w:pStyle w:val="ListParagraph"/>
      </w:pPr>
      <w:r>
        <w:t xml:space="preserve">Cuts to Oxfordshire County Council’s Housing Related Support funds from 1 April 2017 will have a significant impact on supported accommodation provision for single homeless people across Oxfordshire. </w:t>
      </w:r>
    </w:p>
    <w:p w:rsidR="00AB4722" w:rsidRDefault="00AB4722" w:rsidP="00E206D6">
      <w:pPr>
        <w:pStyle w:val="ListParagraph"/>
      </w:pPr>
      <w:r>
        <w:t>Districts and City Council, as well as current funders to the adult homel</w:t>
      </w:r>
      <w:r w:rsidR="00175B0E">
        <w:t>e</w:t>
      </w:r>
      <w:r>
        <w:t>ss pathway, Oxfordshire County Council and Oxfordshire Clinical Commissio</w:t>
      </w:r>
      <w:r w:rsidR="00175B0E">
        <w:t xml:space="preserve">ning </w:t>
      </w:r>
      <w:r>
        <w:t xml:space="preserve">Group have agreed a preferred option for provision and funding of services. </w:t>
      </w:r>
      <w:r w:rsidR="00AE78A2">
        <w:t>The preferred option has been endorsed by HIB.</w:t>
      </w:r>
    </w:p>
    <w:p w:rsidR="00AB4722" w:rsidRDefault="00AB4722" w:rsidP="00AB4722">
      <w:pPr>
        <w:pStyle w:val="ListParagraph"/>
      </w:pPr>
      <w:r>
        <w:t>A pooled budget will be used to fund services, although with a reduction to units, from 1</w:t>
      </w:r>
      <w:r w:rsidR="00172669">
        <w:rPr>
          <w:vertAlign w:val="superscript"/>
        </w:rPr>
        <w:t xml:space="preserve"> </w:t>
      </w:r>
      <w:r>
        <w:t xml:space="preserve">April 2017. All parties will sign up to a Governance Agreement. </w:t>
      </w:r>
    </w:p>
    <w:p w:rsidR="00AB4722" w:rsidRDefault="00AB4722" w:rsidP="00AB4722">
      <w:pPr>
        <w:pStyle w:val="ListParagraph"/>
      </w:pPr>
      <w:r>
        <w:t>CEB is asked to agree to the pooled budget</w:t>
      </w:r>
      <w:r w:rsidR="009002A5">
        <w:t xml:space="preserve"> arrangement and funds contributed from City, as well as to </w:t>
      </w:r>
      <w:r w:rsidR="00AE78A2">
        <w:t>enter into a Governance Agreement when this has been finalised.</w:t>
      </w:r>
    </w:p>
    <w:p w:rsidR="00AB4722" w:rsidRPr="001356F1" w:rsidRDefault="00AB4722" w:rsidP="00AB4722">
      <w:pPr>
        <w:pStyle w:val="ListParagraph"/>
      </w:pPr>
      <w:r>
        <w:t xml:space="preserve">Oxford City Council officers will work up options for allocation of Homelessness Revenue </w:t>
      </w:r>
      <w:r w:rsidR="009002A5">
        <w:t xml:space="preserve">Allocation </w:t>
      </w:r>
      <w:r>
        <w:t>Funds in order to mitigate effects of County Council cuts</w:t>
      </w:r>
      <w:r w:rsidR="006F75BE">
        <w:t xml:space="preserve"> and at the same time ensure that services are funded in the city to meet need. </w:t>
      </w:r>
    </w:p>
    <w:p w:rsidR="00E206D6" w:rsidRPr="001356F1" w:rsidRDefault="00E206D6" w:rsidP="00E206D6">
      <w:pPr>
        <w:pStyle w:val="ListParagraph"/>
        <w:numPr>
          <w:ilvl w:val="0"/>
          <w:numId w:val="0"/>
        </w:numPr>
        <w:ind w:left="426"/>
      </w:pP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6F75BE" w:rsidP="00A46E98">
            <w:r>
              <w:t>Ossi Mosley</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175B0E" w:rsidP="00A24F3F">
            <w:r>
              <w:t xml:space="preserve">Rough Sleeping and Single Homelessness </w:t>
            </w:r>
            <w:r w:rsidR="006F75BE">
              <w:t xml:space="preserve"> Manage</w:t>
            </w:r>
            <w:r>
              <w:t>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6F75BE" w:rsidP="00A46E98">
            <w:r>
              <w:t>Housing and Property</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6F75BE">
            <w:r w:rsidRPr="001356F1">
              <w:t xml:space="preserve">01865 </w:t>
            </w:r>
            <w:r w:rsidR="006F75BE">
              <w:t>252 510</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6F75BE" w:rsidP="00A46E98">
            <w:pPr>
              <w:rPr>
                <w:rStyle w:val="Hyperlink"/>
                <w:color w:val="000000"/>
              </w:rPr>
            </w:pPr>
            <w:r>
              <w:rPr>
                <w:rStyle w:val="Hyperlink"/>
                <w:color w:val="000000"/>
              </w:rPr>
              <w:t>omosley@oxford.gov.uk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4456DD" w:rsidRPr="009E51FC" w:rsidRDefault="004456DD" w:rsidP="0093067A"/>
    <w:sectPr w:rsidR="004456DD"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6E0" w:rsidRDefault="009E06E0" w:rsidP="004A6D2F">
      <w:r>
        <w:separator/>
      </w:r>
    </w:p>
  </w:endnote>
  <w:endnote w:type="continuationSeparator" w:id="0">
    <w:p w:rsidR="009E06E0" w:rsidRDefault="009E06E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6E0" w:rsidRDefault="009E06E0" w:rsidP="004A6D2F">
      <w:r>
        <w:separator/>
      </w:r>
    </w:p>
  </w:footnote>
  <w:footnote w:type="continuationSeparator" w:id="0">
    <w:p w:rsidR="009E06E0" w:rsidRDefault="009E06E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287454"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0FF5410"/>
    <w:multiLevelType w:val="hybridMultilevel"/>
    <w:tmpl w:val="641AB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38C30BB"/>
    <w:multiLevelType w:val="multilevel"/>
    <w:tmpl w:val="E67CE66C"/>
    <w:styleLink w:val="StyleNumberedLeft0cmHanging075cm"/>
    <w:lvl w:ilvl="0">
      <w:start w:val="1"/>
      <w:numFmt w:val="decimal"/>
      <w:pStyle w:val="ListParagraph"/>
      <w:lvlText w:val="%1."/>
      <w:lvlJc w:val="left"/>
      <w:pPr>
        <w:ind w:left="2629"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49C05EF"/>
    <w:multiLevelType w:val="multilevel"/>
    <w:tmpl w:val="43D6D2FA"/>
    <w:numStyleLink w:val="StyleBulletedSymbolsymbolLeft063cmHanging063cm"/>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E5D402B"/>
    <w:multiLevelType w:val="hybridMultilevel"/>
    <w:tmpl w:val="0CD808EE"/>
    <w:lvl w:ilvl="0" w:tplc="9B546B0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BA5FD8"/>
    <w:multiLevelType w:val="multilevel"/>
    <w:tmpl w:val="43D6D2FA"/>
    <w:numStyleLink w:val="StyleBulletedSymbolsymbolLeft063cmHanging063cm"/>
  </w:abstractNum>
  <w:abstractNum w:abstractNumId="29">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A22831"/>
    <w:multiLevelType w:val="multilevel"/>
    <w:tmpl w:val="43D6D2FA"/>
    <w:numStyleLink w:val="StyleBulletedSymbolsymbolLeft063cmHanging063cm"/>
  </w:abstractNum>
  <w:abstractNum w:abstractNumId="31">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98365C6"/>
    <w:multiLevelType w:val="multilevel"/>
    <w:tmpl w:val="E67CE66C"/>
    <w:numStyleLink w:val="StyleNumberedLeft0cmHanging075cm"/>
  </w:abstractNum>
  <w:num w:numId="1">
    <w:abstractNumId w:val="27"/>
  </w:num>
  <w:num w:numId="2">
    <w:abstractNumId w:val="32"/>
  </w:num>
  <w:num w:numId="3">
    <w:abstractNumId w:val="24"/>
  </w:num>
  <w:num w:numId="4">
    <w:abstractNumId w:val="19"/>
  </w:num>
  <w:num w:numId="5">
    <w:abstractNumId w:val="29"/>
  </w:num>
  <w:num w:numId="6">
    <w:abstractNumId w:val="33"/>
  </w:num>
  <w:num w:numId="7">
    <w:abstractNumId w:val="23"/>
  </w:num>
  <w:num w:numId="8">
    <w:abstractNumId w:val="20"/>
  </w:num>
  <w:num w:numId="9">
    <w:abstractNumId w:val="14"/>
  </w:num>
  <w:num w:numId="10">
    <w:abstractNumId w:val="16"/>
  </w:num>
  <w:num w:numId="11">
    <w:abstractNumId w:val="26"/>
  </w:num>
  <w:num w:numId="12">
    <w:abstractNumId w:val="25"/>
  </w:num>
  <w:num w:numId="13">
    <w:abstractNumId w:val="11"/>
  </w:num>
  <w:num w:numId="14">
    <w:abstractNumId w:val="34"/>
  </w:num>
  <w:num w:numId="15">
    <w:abstractNumId w:val="17"/>
  </w:num>
  <w:num w:numId="16">
    <w:abstractNumId w:val="12"/>
  </w:num>
  <w:num w:numId="17">
    <w:abstractNumId w:val="28"/>
  </w:num>
  <w:num w:numId="18">
    <w:abstractNumId w:val="13"/>
  </w:num>
  <w:num w:numId="19">
    <w:abstractNumId w:val="30"/>
  </w:num>
  <w:num w:numId="20">
    <w:abstractNumId w:val="18"/>
  </w:num>
  <w:num w:numId="21">
    <w:abstractNumId w:val="22"/>
  </w:num>
  <w:num w:numId="22">
    <w:abstractNumId w:val="15"/>
  </w:num>
  <w:num w:numId="23">
    <w:abstractNumId w:val="3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1"/>
  </w:num>
  <w:num w:numId="3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54"/>
    <w:rsid w:val="000117D4"/>
    <w:rsid w:val="0001426B"/>
    <w:rsid w:val="000314D7"/>
    <w:rsid w:val="0003683F"/>
    <w:rsid w:val="00045F8B"/>
    <w:rsid w:val="0004603F"/>
    <w:rsid w:val="00046D2B"/>
    <w:rsid w:val="00056263"/>
    <w:rsid w:val="00064D8A"/>
    <w:rsid w:val="00064F82"/>
    <w:rsid w:val="00066510"/>
    <w:rsid w:val="00077523"/>
    <w:rsid w:val="000A3A68"/>
    <w:rsid w:val="000B4871"/>
    <w:rsid w:val="000C089F"/>
    <w:rsid w:val="000C3928"/>
    <w:rsid w:val="000C5E8E"/>
    <w:rsid w:val="000F4751"/>
    <w:rsid w:val="0010524C"/>
    <w:rsid w:val="00111FB1"/>
    <w:rsid w:val="00113418"/>
    <w:rsid w:val="0012289E"/>
    <w:rsid w:val="00130341"/>
    <w:rsid w:val="0013379E"/>
    <w:rsid w:val="001356F1"/>
    <w:rsid w:val="00136994"/>
    <w:rsid w:val="0014128E"/>
    <w:rsid w:val="00151888"/>
    <w:rsid w:val="00164A16"/>
    <w:rsid w:val="00170A2D"/>
    <w:rsid w:val="00172669"/>
    <w:rsid w:val="00175B0E"/>
    <w:rsid w:val="001808BC"/>
    <w:rsid w:val="00182B81"/>
    <w:rsid w:val="0018619D"/>
    <w:rsid w:val="00192E2D"/>
    <w:rsid w:val="001A011E"/>
    <w:rsid w:val="001A066A"/>
    <w:rsid w:val="001A13E6"/>
    <w:rsid w:val="001A5731"/>
    <w:rsid w:val="001B42C3"/>
    <w:rsid w:val="001C5D5E"/>
    <w:rsid w:val="001D678D"/>
    <w:rsid w:val="001E03F8"/>
    <w:rsid w:val="001E1678"/>
    <w:rsid w:val="001E3376"/>
    <w:rsid w:val="002069B3"/>
    <w:rsid w:val="00211323"/>
    <w:rsid w:val="00226607"/>
    <w:rsid w:val="002329CF"/>
    <w:rsid w:val="00232F5B"/>
    <w:rsid w:val="00247C29"/>
    <w:rsid w:val="00260467"/>
    <w:rsid w:val="00263EA3"/>
    <w:rsid w:val="0028344A"/>
    <w:rsid w:val="00284C21"/>
    <w:rsid w:val="00284F85"/>
    <w:rsid w:val="00287454"/>
    <w:rsid w:val="00290915"/>
    <w:rsid w:val="002A1A4C"/>
    <w:rsid w:val="002A22E2"/>
    <w:rsid w:val="002B5FDB"/>
    <w:rsid w:val="002C3B18"/>
    <w:rsid w:val="002C64F7"/>
    <w:rsid w:val="002F41F2"/>
    <w:rsid w:val="002F6630"/>
    <w:rsid w:val="00301BF3"/>
    <w:rsid w:val="0030208D"/>
    <w:rsid w:val="00323418"/>
    <w:rsid w:val="00323C26"/>
    <w:rsid w:val="00324F4B"/>
    <w:rsid w:val="003357BF"/>
    <w:rsid w:val="00343E3E"/>
    <w:rsid w:val="00364FAD"/>
    <w:rsid w:val="0036738F"/>
    <w:rsid w:val="0036759C"/>
    <w:rsid w:val="00367AE5"/>
    <w:rsid w:val="00367D71"/>
    <w:rsid w:val="0038150A"/>
    <w:rsid w:val="003A6D14"/>
    <w:rsid w:val="003B6E75"/>
    <w:rsid w:val="003B7DA1"/>
    <w:rsid w:val="003D0379"/>
    <w:rsid w:val="003D2574"/>
    <w:rsid w:val="003D4C59"/>
    <w:rsid w:val="003D56B1"/>
    <w:rsid w:val="003F3C0F"/>
    <w:rsid w:val="003F4267"/>
    <w:rsid w:val="003F783D"/>
    <w:rsid w:val="00404032"/>
    <w:rsid w:val="0040736F"/>
    <w:rsid w:val="00412C1F"/>
    <w:rsid w:val="00421CB2"/>
    <w:rsid w:val="00421D74"/>
    <w:rsid w:val="004268B9"/>
    <w:rsid w:val="00433B96"/>
    <w:rsid w:val="004440F1"/>
    <w:rsid w:val="004456DD"/>
    <w:rsid w:val="00446CDF"/>
    <w:rsid w:val="004521B7"/>
    <w:rsid w:val="00462AB5"/>
    <w:rsid w:val="00465EAF"/>
    <w:rsid w:val="004738C5"/>
    <w:rsid w:val="00491046"/>
    <w:rsid w:val="004A2AC7"/>
    <w:rsid w:val="004A6D2F"/>
    <w:rsid w:val="004C2887"/>
    <w:rsid w:val="004D1455"/>
    <w:rsid w:val="004D2626"/>
    <w:rsid w:val="004D6B6A"/>
    <w:rsid w:val="004D6E26"/>
    <w:rsid w:val="004D77D3"/>
    <w:rsid w:val="004E2959"/>
    <w:rsid w:val="004E554C"/>
    <w:rsid w:val="004F20EF"/>
    <w:rsid w:val="0050321C"/>
    <w:rsid w:val="005034E6"/>
    <w:rsid w:val="0054712D"/>
    <w:rsid w:val="00547EF6"/>
    <w:rsid w:val="005570B5"/>
    <w:rsid w:val="00567E18"/>
    <w:rsid w:val="00575F5F"/>
    <w:rsid w:val="00577E8E"/>
    <w:rsid w:val="00581805"/>
    <w:rsid w:val="00585F76"/>
    <w:rsid w:val="005A34E4"/>
    <w:rsid w:val="005B17F2"/>
    <w:rsid w:val="005B7F05"/>
    <w:rsid w:val="005B7FB0"/>
    <w:rsid w:val="005C35A5"/>
    <w:rsid w:val="005C577C"/>
    <w:rsid w:val="005D0621"/>
    <w:rsid w:val="005D1E27"/>
    <w:rsid w:val="005D2A3E"/>
    <w:rsid w:val="005E022E"/>
    <w:rsid w:val="005E5215"/>
    <w:rsid w:val="005F7F7E"/>
    <w:rsid w:val="00614693"/>
    <w:rsid w:val="00623C2F"/>
    <w:rsid w:val="0062687F"/>
    <w:rsid w:val="00633578"/>
    <w:rsid w:val="00637068"/>
    <w:rsid w:val="00643E0A"/>
    <w:rsid w:val="00650811"/>
    <w:rsid w:val="00661D3E"/>
    <w:rsid w:val="00662BA0"/>
    <w:rsid w:val="00692627"/>
    <w:rsid w:val="006969E7"/>
    <w:rsid w:val="006A3643"/>
    <w:rsid w:val="006A3F11"/>
    <w:rsid w:val="006A3FD6"/>
    <w:rsid w:val="006B09A8"/>
    <w:rsid w:val="006B2185"/>
    <w:rsid w:val="006C0B04"/>
    <w:rsid w:val="006C2A29"/>
    <w:rsid w:val="006C64CF"/>
    <w:rsid w:val="006D17B1"/>
    <w:rsid w:val="006D4752"/>
    <w:rsid w:val="006D708A"/>
    <w:rsid w:val="006E0EB7"/>
    <w:rsid w:val="006E14C1"/>
    <w:rsid w:val="006F0292"/>
    <w:rsid w:val="006F27FA"/>
    <w:rsid w:val="006F416B"/>
    <w:rsid w:val="006F519B"/>
    <w:rsid w:val="006F75BE"/>
    <w:rsid w:val="00712C9E"/>
    <w:rsid w:val="00713675"/>
    <w:rsid w:val="00715823"/>
    <w:rsid w:val="00737B93"/>
    <w:rsid w:val="00745BF0"/>
    <w:rsid w:val="007615FE"/>
    <w:rsid w:val="00762680"/>
    <w:rsid w:val="0076655C"/>
    <w:rsid w:val="007742DC"/>
    <w:rsid w:val="00791437"/>
    <w:rsid w:val="007B0C2C"/>
    <w:rsid w:val="007B278E"/>
    <w:rsid w:val="007C5C23"/>
    <w:rsid w:val="007D4748"/>
    <w:rsid w:val="007E2A26"/>
    <w:rsid w:val="007F2348"/>
    <w:rsid w:val="008018F2"/>
    <w:rsid w:val="00803F07"/>
    <w:rsid w:val="0080749A"/>
    <w:rsid w:val="00817399"/>
    <w:rsid w:val="00821FB8"/>
    <w:rsid w:val="00822ACD"/>
    <w:rsid w:val="00853EAF"/>
    <w:rsid w:val="00855C66"/>
    <w:rsid w:val="00871EE4"/>
    <w:rsid w:val="0088206E"/>
    <w:rsid w:val="008979B8"/>
    <w:rsid w:val="008B293F"/>
    <w:rsid w:val="008B7371"/>
    <w:rsid w:val="008D3DDB"/>
    <w:rsid w:val="008F4DA2"/>
    <w:rsid w:val="008F573F"/>
    <w:rsid w:val="009002A5"/>
    <w:rsid w:val="00903154"/>
    <w:rsid w:val="009034EC"/>
    <w:rsid w:val="0090557B"/>
    <w:rsid w:val="009179DA"/>
    <w:rsid w:val="0093067A"/>
    <w:rsid w:val="00941C60"/>
    <w:rsid w:val="00944019"/>
    <w:rsid w:val="00966D42"/>
    <w:rsid w:val="00971689"/>
    <w:rsid w:val="00973E90"/>
    <w:rsid w:val="009755F2"/>
    <w:rsid w:val="00975B07"/>
    <w:rsid w:val="00976677"/>
    <w:rsid w:val="00980B4A"/>
    <w:rsid w:val="009E06E0"/>
    <w:rsid w:val="009E3D0A"/>
    <w:rsid w:val="009E51FC"/>
    <w:rsid w:val="009F1D28"/>
    <w:rsid w:val="009F20EA"/>
    <w:rsid w:val="009F7618"/>
    <w:rsid w:val="00A04D23"/>
    <w:rsid w:val="00A06766"/>
    <w:rsid w:val="00A13765"/>
    <w:rsid w:val="00A149AB"/>
    <w:rsid w:val="00A21B12"/>
    <w:rsid w:val="00A23F80"/>
    <w:rsid w:val="00A24F3F"/>
    <w:rsid w:val="00A46E98"/>
    <w:rsid w:val="00A55EDA"/>
    <w:rsid w:val="00A6352B"/>
    <w:rsid w:val="00A701B5"/>
    <w:rsid w:val="00A714BB"/>
    <w:rsid w:val="00A76B5D"/>
    <w:rsid w:val="00A92729"/>
    <w:rsid w:val="00A92D8F"/>
    <w:rsid w:val="00A93251"/>
    <w:rsid w:val="00AB2988"/>
    <w:rsid w:val="00AB4722"/>
    <w:rsid w:val="00AB7999"/>
    <w:rsid w:val="00AD3292"/>
    <w:rsid w:val="00AE128D"/>
    <w:rsid w:val="00AE646F"/>
    <w:rsid w:val="00AE78A2"/>
    <w:rsid w:val="00AE7AF0"/>
    <w:rsid w:val="00B17AED"/>
    <w:rsid w:val="00B500CA"/>
    <w:rsid w:val="00B64BFB"/>
    <w:rsid w:val="00B86314"/>
    <w:rsid w:val="00BA1C2E"/>
    <w:rsid w:val="00BC0D79"/>
    <w:rsid w:val="00BC200B"/>
    <w:rsid w:val="00BC4756"/>
    <w:rsid w:val="00BC69A4"/>
    <w:rsid w:val="00BE0680"/>
    <w:rsid w:val="00BE305F"/>
    <w:rsid w:val="00BE7BA3"/>
    <w:rsid w:val="00BF5682"/>
    <w:rsid w:val="00BF7B09"/>
    <w:rsid w:val="00C00E86"/>
    <w:rsid w:val="00C02F3A"/>
    <w:rsid w:val="00C17B7D"/>
    <w:rsid w:val="00C20A95"/>
    <w:rsid w:val="00C2692F"/>
    <w:rsid w:val="00C3207C"/>
    <w:rsid w:val="00C400E1"/>
    <w:rsid w:val="00C41187"/>
    <w:rsid w:val="00C63C31"/>
    <w:rsid w:val="00C757A0"/>
    <w:rsid w:val="00C760DE"/>
    <w:rsid w:val="00C82630"/>
    <w:rsid w:val="00C85B4E"/>
    <w:rsid w:val="00C907F7"/>
    <w:rsid w:val="00CA2103"/>
    <w:rsid w:val="00CA6636"/>
    <w:rsid w:val="00CB5775"/>
    <w:rsid w:val="00CB6B99"/>
    <w:rsid w:val="00CE4C87"/>
    <w:rsid w:val="00CE544A"/>
    <w:rsid w:val="00D00004"/>
    <w:rsid w:val="00D11E1C"/>
    <w:rsid w:val="00D160B0"/>
    <w:rsid w:val="00D17F94"/>
    <w:rsid w:val="00D20204"/>
    <w:rsid w:val="00D223FC"/>
    <w:rsid w:val="00D26D1E"/>
    <w:rsid w:val="00D37052"/>
    <w:rsid w:val="00D45C34"/>
    <w:rsid w:val="00D474CF"/>
    <w:rsid w:val="00D5547E"/>
    <w:rsid w:val="00D621F0"/>
    <w:rsid w:val="00D76BC1"/>
    <w:rsid w:val="00D869A1"/>
    <w:rsid w:val="00DA413F"/>
    <w:rsid w:val="00DA4584"/>
    <w:rsid w:val="00DA614B"/>
    <w:rsid w:val="00DC2692"/>
    <w:rsid w:val="00DC3060"/>
    <w:rsid w:val="00DE0FB2"/>
    <w:rsid w:val="00DF093E"/>
    <w:rsid w:val="00E01F42"/>
    <w:rsid w:val="00E206D6"/>
    <w:rsid w:val="00E3366E"/>
    <w:rsid w:val="00E3628A"/>
    <w:rsid w:val="00E52086"/>
    <w:rsid w:val="00E543A6"/>
    <w:rsid w:val="00E60479"/>
    <w:rsid w:val="00E61795"/>
    <w:rsid w:val="00E61D73"/>
    <w:rsid w:val="00E73684"/>
    <w:rsid w:val="00E74DB2"/>
    <w:rsid w:val="00E818D6"/>
    <w:rsid w:val="00E87E94"/>
    <w:rsid w:val="00E87F7A"/>
    <w:rsid w:val="00E96BD7"/>
    <w:rsid w:val="00EA0DB1"/>
    <w:rsid w:val="00EA0EE9"/>
    <w:rsid w:val="00EC6C0C"/>
    <w:rsid w:val="00ED130A"/>
    <w:rsid w:val="00ED52CA"/>
    <w:rsid w:val="00ED5860"/>
    <w:rsid w:val="00EE35C9"/>
    <w:rsid w:val="00F05ECA"/>
    <w:rsid w:val="00F3566E"/>
    <w:rsid w:val="00F375FB"/>
    <w:rsid w:val="00F41AC1"/>
    <w:rsid w:val="00F4367A"/>
    <w:rsid w:val="00F445B1"/>
    <w:rsid w:val="00F45CD4"/>
    <w:rsid w:val="00F64174"/>
    <w:rsid w:val="00F66DCA"/>
    <w:rsid w:val="00F74F53"/>
    <w:rsid w:val="00F7606D"/>
    <w:rsid w:val="00F81670"/>
    <w:rsid w:val="00F82024"/>
    <w:rsid w:val="00F8614D"/>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5B6B8-1B8A-4AFC-BF9C-AC7910492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36F19FA3.dotm</Template>
  <TotalTime>93</TotalTime>
  <Pages>6</Pages>
  <Words>1963</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ossi.mosley</dc:creator>
  <cp:lastModifiedBy>Sarah.Claridge</cp:lastModifiedBy>
  <cp:revision>10</cp:revision>
  <cp:lastPrinted>2016-08-04T15:08:00Z</cp:lastPrinted>
  <dcterms:created xsi:type="dcterms:W3CDTF">2016-08-12T10:59:00Z</dcterms:created>
  <dcterms:modified xsi:type="dcterms:W3CDTF">2016-09-06T14:28:00Z</dcterms:modified>
</cp:coreProperties>
</file>